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6EA3" w14:textId="77777777" w:rsidR="00A82A62" w:rsidRDefault="00A82A62" w:rsidP="00A82A62">
      <w:bookmarkStart w:id="0" w:name="_GoBack"/>
      <w:r>
        <w:rPr>
          <w:noProof/>
        </w:rPr>
        <w:drawing>
          <wp:inline distT="0" distB="0" distL="0" distR="0" wp14:anchorId="42210B8D" wp14:editId="08C4EEE7">
            <wp:extent cx="5771515" cy="552450"/>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1515" cy="552450"/>
                    </a:xfrm>
                    <a:prstGeom prst="rect">
                      <a:avLst/>
                    </a:prstGeom>
                    <a:noFill/>
                  </pic:spPr>
                </pic:pic>
              </a:graphicData>
            </a:graphic>
          </wp:inline>
        </w:drawing>
      </w:r>
    </w:p>
    <w:tbl>
      <w:tblPr>
        <w:tblW w:w="0" w:type="auto"/>
        <w:tblInd w:w="-5" w:type="dxa"/>
        <w:tblCellMar>
          <w:left w:w="0" w:type="dxa"/>
          <w:right w:w="0" w:type="dxa"/>
        </w:tblCellMar>
        <w:tblLook w:val="04A0" w:firstRow="1" w:lastRow="0" w:firstColumn="1" w:lastColumn="0" w:noHBand="0" w:noVBand="1"/>
      </w:tblPr>
      <w:tblGrid>
        <w:gridCol w:w="2253"/>
        <w:gridCol w:w="1810"/>
        <w:gridCol w:w="2224"/>
        <w:gridCol w:w="2790"/>
      </w:tblGrid>
      <w:tr w:rsidR="00A82A62" w:rsidRPr="009B5D02" w14:paraId="40775EF2" w14:textId="77777777" w:rsidTr="00BD18CA">
        <w:tc>
          <w:tcPr>
            <w:tcW w:w="2632" w:type="dxa"/>
            <w:tcMar>
              <w:top w:w="0" w:type="dxa"/>
              <w:left w:w="108" w:type="dxa"/>
              <w:bottom w:w="0" w:type="dxa"/>
              <w:right w:w="108" w:type="dxa"/>
            </w:tcMar>
            <w:vAlign w:val="center"/>
            <w:hideMark/>
          </w:tcPr>
          <w:p w14:paraId="5AA332DD" w14:textId="77777777" w:rsidR="00A82A62" w:rsidRPr="009B5D02" w:rsidRDefault="00A82A62" w:rsidP="00BD18CA">
            <w:pPr>
              <w:spacing w:after="200" w:line="276" w:lineRule="auto"/>
              <w:jc w:val="center"/>
            </w:pPr>
            <w:r w:rsidRPr="009B5D02">
              <w:rPr>
                <w:noProof/>
              </w:rPr>
              <w:drawing>
                <wp:inline distT="0" distB="0" distL="0" distR="0" wp14:anchorId="060DBCC2" wp14:editId="580F11BA">
                  <wp:extent cx="923925" cy="867686"/>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2329" cy="875579"/>
                          </a:xfrm>
                          <a:prstGeom prst="rect">
                            <a:avLst/>
                          </a:prstGeom>
                          <a:noFill/>
                        </pic:spPr>
                      </pic:pic>
                    </a:graphicData>
                  </a:graphic>
                </wp:inline>
              </w:drawing>
            </w:r>
          </w:p>
        </w:tc>
        <w:tc>
          <w:tcPr>
            <w:tcW w:w="1989" w:type="dxa"/>
            <w:tcMar>
              <w:top w:w="0" w:type="dxa"/>
              <w:left w:w="108" w:type="dxa"/>
              <w:bottom w:w="0" w:type="dxa"/>
              <w:right w:w="108" w:type="dxa"/>
            </w:tcMar>
            <w:vAlign w:val="center"/>
          </w:tcPr>
          <w:p w14:paraId="41E32559" w14:textId="77777777" w:rsidR="00A82A62" w:rsidRPr="009B5D02" w:rsidRDefault="00A82A62" w:rsidP="00BD18CA">
            <w:pPr>
              <w:spacing w:after="200" w:line="276" w:lineRule="auto"/>
              <w:jc w:val="center"/>
            </w:pPr>
            <w:r w:rsidRPr="009B5D02">
              <w:rPr>
                <w:noProof/>
              </w:rPr>
              <w:drawing>
                <wp:inline distT="0" distB="0" distL="0" distR="0" wp14:anchorId="5527EFB3" wp14:editId="78238BC7">
                  <wp:extent cx="838200" cy="8382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38200" cy="838200"/>
                          </a:xfrm>
                          <a:prstGeom prst="rect">
                            <a:avLst/>
                          </a:prstGeom>
                        </pic:spPr>
                      </pic:pic>
                    </a:graphicData>
                  </a:graphic>
                </wp:inline>
              </w:drawing>
            </w:r>
          </w:p>
        </w:tc>
        <w:tc>
          <w:tcPr>
            <w:tcW w:w="2633" w:type="dxa"/>
            <w:tcMar>
              <w:top w:w="0" w:type="dxa"/>
              <w:left w:w="108" w:type="dxa"/>
              <w:bottom w:w="0" w:type="dxa"/>
              <w:right w:w="108" w:type="dxa"/>
            </w:tcMar>
            <w:vAlign w:val="center"/>
            <w:hideMark/>
          </w:tcPr>
          <w:p w14:paraId="421C91BC" w14:textId="77777777" w:rsidR="00A82A62" w:rsidRPr="009B5D02" w:rsidRDefault="00A82A62" w:rsidP="00BD18CA">
            <w:pPr>
              <w:spacing w:after="200" w:line="276" w:lineRule="auto"/>
              <w:jc w:val="center"/>
              <w:rPr>
                <w:lang w:eastAsia="fr-FR"/>
              </w:rPr>
            </w:pPr>
            <w:r w:rsidRPr="009B5D02">
              <w:rPr>
                <w:noProof/>
              </w:rPr>
              <w:drawing>
                <wp:inline distT="0" distB="0" distL="0" distR="0" wp14:anchorId="06B644C3" wp14:editId="19789CDF">
                  <wp:extent cx="877241" cy="71056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99153" cy="728313"/>
                          </a:xfrm>
                          <a:prstGeom prst="rect">
                            <a:avLst/>
                          </a:prstGeom>
                        </pic:spPr>
                      </pic:pic>
                    </a:graphicData>
                  </a:graphic>
                </wp:inline>
              </w:drawing>
            </w:r>
          </w:p>
        </w:tc>
        <w:tc>
          <w:tcPr>
            <w:tcW w:w="1813" w:type="dxa"/>
            <w:vAlign w:val="center"/>
          </w:tcPr>
          <w:p w14:paraId="5D0FC14C" w14:textId="77777777" w:rsidR="00A82A62" w:rsidRPr="009B5D02" w:rsidRDefault="00A82A62" w:rsidP="00BD18CA">
            <w:pPr>
              <w:spacing w:after="200" w:line="276" w:lineRule="auto"/>
              <w:jc w:val="center"/>
              <w:rPr>
                <w:noProof/>
              </w:rPr>
            </w:pPr>
            <w:r w:rsidRPr="009B5D02">
              <w:rPr>
                <w:noProof/>
              </w:rPr>
              <w:drawing>
                <wp:inline distT="0" distB="0" distL="0" distR="0" wp14:anchorId="4326DB0C" wp14:editId="44AE3280">
                  <wp:extent cx="1769975" cy="602157"/>
                  <wp:effectExtent l="0" t="0" r="1905"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371" cy="606714"/>
                          </a:xfrm>
                          <a:prstGeom prst="rect">
                            <a:avLst/>
                          </a:prstGeom>
                          <a:noFill/>
                          <a:ln>
                            <a:noFill/>
                          </a:ln>
                        </pic:spPr>
                      </pic:pic>
                    </a:graphicData>
                  </a:graphic>
                </wp:inline>
              </w:drawing>
            </w:r>
          </w:p>
        </w:tc>
      </w:tr>
    </w:tbl>
    <w:p w14:paraId="3E8237B1" w14:textId="77777777" w:rsidR="00A82A62" w:rsidRDefault="00A82A62" w:rsidP="00A82A62">
      <w:pPr>
        <w:autoSpaceDE w:val="0"/>
        <w:autoSpaceDN w:val="0"/>
        <w:adjustRightInd w:val="0"/>
        <w:spacing w:after="0" w:line="241" w:lineRule="atLeast"/>
        <w:ind w:left="40"/>
        <w:jc w:val="both"/>
        <w:rPr>
          <w:rFonts w:ascii="Arial" w:hAnsi="Arial" w:cs="Arial"/>
          <w:bCs/>
          <w:color w:val="221E1F"/>
        </w:rPr>
      </w:pPr>
    </w:p>
    <w:p w14:paraId="249F499C" w14:textId="77777777" w:rsidR="00A82A62" w:rsidRDefault="00A82A62" w:rsidP="00A82A62">
      <w:pPr>
        <w:autoSpaceDE w:val="0"/>
        <w:autoSpaceDN w:val="0"/>
        <w:adjustRightInd w:val="0"/>
        <w:spacing w:after="0" w:line="241" w:lineRule="atLeast"/>
        <w:ind w:left="40"/>
        <w:jc w:val="right"/>
        <w:rPr>
          <w:rFonts w:ascii="Arial" w:hAnsi="Arial" w:cs="Arial"/>
          <w:bCs/>
          <w:color w:val="221E1F"/>
        </w:rPr>
      </w:pPr>
      <w:r>
        <w:rPr>
          <w:rFonts w:ascii="Arial" w:hAnsi="Arial" w:cs="Arial"/>
          <w:bCs/>
          <w:color w:val="221E1F"/>
        </w:rPr>
        <w:t>Le 11 mars 2021</w:t>
      </w:r>
    </w:p>
    <w:p w14:paraId="0DD7A404" w14:textId="77777777" w:rsidR="00A82A62" w:rsidRDefault="00A82A62" w:rsidP="00A82A62">
      <w:pPr>
        <w:autoSpaceDE w:val="0"/>
        <w:autoSpaceDN w:val="0"/>
        <w:adjustRightInd w:val="0"/>
        <w:spacing w:after="0" w:line="240" w:lineRule="auto"/>
        <w:ind w:left="40"/>
        <w:jc w:val="both"/>
        <w:rPr>
          <w:rFonts w:ascii="Arial" w:hAnsi="Arial" w:cs="Arial"/>
          <w:b/>
          <w:bCs/>
          <w:color w:val="221E1F"/>
          <w:sz w:val="28"/>
        </w:rPr>
      </w:pPr>
    </w:p>
    <w:p w14:paraId="48A4A267" w14:textId="77777777" w:rsidR="00607828" w:rsidRDefault="00607828" w:rsidP="00607828">
      <w:pPr>
        <w:autoSpaceDE w:val="0"/>
        <w:autoSpaceDN w:val="0"/>
        <w:spacing w:line="241" w:lineRule="atLeast"/>
        <w:ind w:left="40"/>
        <w:jc w:val="both"/>
        <w:rPr>
          <w:rFonts w:ascii="Arial" w:hAnsi="Arial" w:cs="Arial"/>
          <w:b/>
          <w:bCs/>
          <w:color w:val="221E1F"/>
          <w:sz w:val="28"/>
          <w:szCs w:val="28"/>
        </w:rPr>
      </w:pPr>
      <w:r>
        <w:rPr>
          <w:rFonts w:ascii="Arial" w:hAnsi="Arial" w:cs="Arial"/>
          <w:b/>
          <w:bCs/>
          <w:color w:val="221E1F"/>
          <w:sz w:val="28"/>
          <w:szCs w:val="28"/>
        </w:rPr>
        <w:t>De nouveaux locaux pour l’Institut de Formation en Soins Infirmiers et Aides-Soignants (IFSI-IFAS) de Fécamp</w:t>
      </w:r>
    </w:p>
    <w:p w14:paraId="6EF72CEC" w14:textId="77777777" w:rsidR="00607828" w:rsidRDefault="00607828" w:rsidP="00607828">
      <w:pPr>
        <w:autoSpaceDE w:val="0"/>
        <w:autoSpaceDN w:val="0"/>
        <w:spacing w:after="0" w:line="240" w:lineRule="auto"/>
        <w:jc w:val="both"/>
        <w:rPr>
          <w:rFonts w:ascii="Arial" w:hAnsi="Arial" w:cs="Arial"/>
          <w:color w:val="221E1F"/>
          <w:sz w:val="24"/>
          <w:szCs w:val="24"/>
        </w:rPr>
      </w:pPr>
    </w:p>
    <w:p w14:paraId="1B833BF8" w14:textId="77777777" w:rsidR="00607828" w:rsidRDefault="00607828" w:rsidP="00607828">
      <w:pPr>
        <w:autoSpaceDE w:val="0"/>
        <w:autoSpaceDN w:val="0"/>
        <w:spacing w:after="0" w:line="240" w:lineRule="auto"/>
        <w:ind w:left="40"/>
        <w:jc w:val="both"/>
        <w:rPr>
          <w:rFonts w:ascii="Arial" w:hAnsi="Arial" w:cs="Arial"/>
          <w:color w:val="221E1F"/>
        </w:rPr>
      </w:pPr>
      <w:r>
        <w:rPr>
          <w:rFonts w:ascii="Arial" w:hAnsi="Arial" w:cs="Arial"/>
          <w:b/>
          <w:bCs/>
          <w:color w:val="221E1F"/>
        </w:rPr>
        <w:t>Hervé MORIN, Président de la Région Normandie, Marie-Agnès POUSSIER-WINSBACK, Maire de Fécamp et Vice-Présidente de la Région Normandie, Jean-François DAVY, Directeur de l’IFSI-IFAS de Fécamp, et Richard LEFEVRE, Directeur du Centre Hospitalier Intercommunal du Pays des Hautes Falaises, ont officiellement inauguré, ce matin, le nouvel Institut de Formation en Soins Infirmiers et Aides-Soignants (IFSI-IFAS) de Fécamp.</w:t>
      </w:r>
      <w:r>
        <w:rPr>
          <w:rFonts w:ascii="Arial" w:hAnsi="Arial" w:cs="Arial"/>
          <w:color w:val="221E1F"/>
        </w:rPr>
        <w:t xml:space="preserve"> </w:t>
      </w:r>
      <w:r>
        <w:rPr>
          <w:rFonts w:ascii="Arial" w:hAnsi="Arial" w:cs="Arial"/>
          <w:b/>
          <w:bCs/>
          <w:color w:val="221E1F"/>
        </w:rPr>
        <w:t>Situés dans une partie de l’ancien hôpital de Fécamp, ces nouveaux locaux, d’une surface totale de 1350 m</w:t>
      </w:r>
      <w:r>
        <w:rPr>
          <w:rFonts w:ascii="Arial" w:hAnsi="Arial" w:cs="Arial"/>
          <w:b/>
          <w:bCs/>
          <w:color w:val="221E1F"/>
          <w:vertAlign w:val="superscript"/>
        </w:rPr>
        <w:t>2</w:t>
      </w:r>
      <w:r>
        <w:rPr>
          <w:rFonts w:ascii="Arial" w:hAnsi="Arial" w:cs="Arial"/>
          <w:b/>
          <w:bCs/>
          <w:color w:val="221E1F"/>
        </w:rPr>
        <w:t xml:space="preserve">, </w:t>
      </w:r>
      <w:r>
        <w:rPr>
          <w:rFonts w:ascii="Arial" w:hAnsi="Arial" w:cs="Arial"/>
          <w:b/>
          <w:bCs/>
        </w:rPr>
        <w:t xml:space="preserve">accueilleront, dès la semaine prochaine, près </w:t>
      </w:r>
      <w:r>
        <w:rPr>
          <w:rFonts w:ascii="Arial" w:hAnsi="Arial" w:cs="Arial"/>
          <w:b/>
          <w:bCs/>
          <w:color w:val="221E1F"/>
        </w:rPr>
        <w:t>de 240 étudiants.</w:t>
      </w:r>
      <w:r>
        <w:rPr>
          <w:rFonts w:ascii="Arial" w:hAnsi="Arial" w:cs="Arial"/>
          <w:color w:val="221E1F"/>
        </w:rPr>
        <w:t xml:space="preserve"> </w:t>
      </w:r>
    </w:p>
    <w:p w14:paraId="14A051AB" w14:textId="77777777" w:rsidR="00607828" w:rsidRDefault="00607828" w:rsidP="00607828">
      <w:pPr>
        <w:autoSpaceDE w:val="0"/>
        <w:autoSpaceDN w:val="0"/>
        <w:spacing w:after="0" w:line="240" w:lineRule="auto"/>
        <w:jc w:val="both"/>
        <w:rPr>
          <w:rFonts w:ascii="Arial" w:hAnsi="Arial" w:cs="Arial"/>
          <w:b/>
          <w:bCs/>
          <w:color w:val="221E1F"/>
        </w:rPr>
      </w:pPr>
    </w:p>
    <w:p w14:paraId="6569C5EA" w14:textId="77777777" w:rsidR="00607828" w:rsidRDefault="00607828" w:rsidP="00607828">
      <w:pPr>
        <w:spacing w:after="0" w:line="240" w:lineRule="auto"/>
        <w:jc w:val="both"/>
        <w:rPr>
          <w:rFonts w:ascii="Arial" w:hAnsi="Arial" w:cs="Arial"/>
        </w:rPr>
      </w:pPr>
      <w:r>
        <w:rPr>
          <w:rFonts w:ascii="Arial" w:hAnsi="Arial" w:cs="Arial"/>
          <w:i/>
          <w:iCs/>
        </w:rPr>
        <w:t>« Plus que jamais, la crise du Covid-19 a montré l’importance des métiers de la santé. La Région mobilise l’ensemble des moyens à sa disposition pour</w:t>
      </w:r>
      <w:r>
        <w:rPr>
          <w:rFonts w:ascii="Calibri" w:hAnsi="Calibri" w:cs="Calibri"/>
        </w:rPr>
        <w:t xml:space="preserve"> </w:t>
      </w:r>
      <w:r>
        <w:rPr>
          <w:rFonts w:ascii="Arial" w:hAnsi="Arial" w:cs="Arial"/>
          <w:i/>
          <w:iCs/>
        </w:rPr>
        <w:t xml:space="preserve">renforcer l’offre de formation sanitaire en Normandie et permettre aux étudiants de cette filière de se former dans de bonnes conditions » </w:t>
      </w:r>
      <w:r>
        <w:rPr>
          <w:rFonts w:ascii="Arial" w:hAnsi="Arial" w:cs="Arial"/>
        </w:rPr>
        <w:t xml:space="preserve">a déclaré Hervé Morin, Président de la Région Normandie. </w:t>
      </w:r>
    </w:p>
    <w:p w14:paraId="25DA9613" w14:textId="77777777" w:rsidR="00607828" w:rsidRDefault="00607828" w:rsidP="00607828">
      <w:pPr>
        <w:autoSpaceDE w:val="0"/>
        <w:autoSpaceDN w:val="0"/>
        <w:spacing w:after="0" w:line="240" w:lineRule="auto"/>
        <w:jc w:val="both"/>
        <w:rPr>
          <w:rFonts w:ascii="Arial" w:hAnsi="Arial" w:cs="Arial"/>
          <w:b/>
          <w:bCs/>
          <w:color w:val="221E1F"/>
        </w:rPr>
      </w:pPr>
    </w:p>
    <w:p w14:paraId="4DBC183D" w14:textId="77777777" w:rsidR="00607828" w:rsidRDefault="00607828" w:rsidP="00607828">
      <w:pPr>
        <w:spacing w:after="120" w:line="240" w:lineRule="auto"/>
        <w:jc w:val="both"/>
        <w:rPr>
          <w:rFonts w:ascii="Arial" w:hAnsi="Arial" w:cs="Arial"/>
          <w:b/>
          <w:bCs/>
          <w:color w:val="221E1F"/>
          <w:sz w:val="24"/>
          <w:szCs w:val="24"/>
        </w:rPr>
      </w:pPr>
      <w:r>
        <w:rPr>
          <w:rFonts w:ascii="Arial" w:hAnsi="Arial" w:cs="Arial"/>
          <w:b/>
          <w:bCs/>
          <w:color w:val="221E1F"/>
          <w:sz w:val="24"/>
          <w:szCs w:val="24"/>
        </w:rPr>
        <w:t>Un projet financé par la Région Normandie à hauteur de plus de 7,6 millions d’euros</w:t>
      </w:r>
    </w:p>
    <w:p w14:paraId="43FAC4FC" w14:textId="77777777" w:rsidR="00607828" w:rsidRDefault="00607828" w:rsidP="00607828">
      <w:pPr>
        <w:spacing w:after="0" w:line="240" w:lineRule="auto"/>
        <w:jc w:val="both"/>
        <w:rPr>
          <w:rFonts w:ascii="Arial" w:hAnsi="Arial" w:cs="Arial"/>
          <w:b/>
          <w:bCs/>
          <w:color w:val="221E1F"/>
          <w:sz w:val="24"/>
          <w:szCs w:val="24"/>
        </w:rPr>
      </w:pPr>
      <w:r>
        <w:rPr>
          <w:rFonts w:ascii="Arial" w:hAnsi="Arial" w:cs="Arial"/>
          <w:color w:val="221E1F"/>
        </w:rPr>
        <w:t>Porté par la Ville de Fécamp, ce projet de réhabilitation a été financé par la Région Normandie à hauteur de 7,6 millions d’euros (soit 80 % du coût total du projet). La Région a également financé le plan d’équipement nécessaire à l’installation dans les nouveaux locaux à hauteur de 500 000 euros.</w:t>
      </w:r>
    </w:p>
    <w:p w14:paraId="0663D5CF" w14:textId="77777777" w:rsidR="00607828" w:rsidRDefault="00607828" w:rsidP="00607828">
      <w:pPr>
        <w:autoSpaceDE w:val="0"/>
        <w:autoSpaceDN w:val="0"/>
        <w:spacing w:after="0" w:line="240" w:lineRule="auto"/>
        <w:jc w:val="both"/>
        <w:rPr>
          <w:rFonts w:ascii="Arial" w:hAnsi="Arial" w:cs="Arial"/>
          <w:color w:val="221E1F"/>
        </w:rPr>
      </w:pPr>
      <w:r>
        <w:rPr>
          <w:rFonts w:ascii="Arial" w:hAnsi="Arial" w:cs="Arial"/>
          <w:color w:val="221E1F"/>
        </w:rPr>
        <w:t xml:space="preserve">Le projet immobilier prévoyait la réfection totale des façades sur deux niveaux, dans le respect de la qualité architecturale des bâtiments et en harmonie avec l’ancienne chapelle, qui est conservée.  </w:t>
      </w:r>
    </w:p>
    <w:p w14:paraId="3F0E2D02" w14:textId="77777777" w:rsidR="00607828" w:rsidRDefault="00607828" w:rsidP="00607828">
      <w:pPr>
        <w:autoSpaceDE w:val="0"/>
        <w:autoSpaceDN w:val="0"/>
        <w:spacing w:after="0" w:line="240" w:lineRule="auto"/>
        <w:ind w:left="40"/>
        <w:jc w:val="both"/>
        <w:rPr>
          <w:rFonts w:ascii="Arial" w:hAnsi="Arial" w:cs="Arial"/>
          <w:b/>
          <w:bCs/>
          <w:color w:val="221E1F"/>
        </w:rPr>
      </w:pPr>
    </w:p>
    <w:p w14:paraId="1DE17228" w14:textId="77777777" w:rsidR="00607828" w:rsidRDefault="00607828" w:rsidP="00607828">
      <w:pPr>
        <w:autoSpaceDE w:val="0"/>
        <w:autoSpaceDN w:val="0"/>
        <w:spacing w:after="0" w:line="240" w:lineRule="auto"/>
        <w:jc w:val="both"/>
        <w:rPr>
          <w:rFonts w:ascii="Arial" w:hAnsi="Arial" w:cs="Arial"/>
          <w:color w:val="221E1F"/>
          <w:highlight w:val="yellow"/>
        </w:rPr>
      </w:pPr>
      <w:r>
        <w:rPr>
          <w:rFonts w:ascii="Arial" w:hAnsi="Arial" w:cs="Arial"/>
          <w:color w:val="221E1F"/>
        </w:rPr>
        <w:t>D’une surface de 1350 m</w:t>
      </w:r>
      <w:r>
        <w:rPr>
          <w:rFonts w:ascii="Arial" w:hAnsi="Arial" w:cs="Arial"/>
          <w:color w:val="221E1F"/>
          <w:vertAlign w:val="superscript"/>
        </w:rPr>
        <w:t>2</w:t>
      </w:r>
      <w:r>
        <w:rPr>
          <w:rFonts w:ascii="Arial" w:hAnsi="Arial" w:cs="Arial"/>
          <w:color w:val="221E1F"/>
        </w:rPr>
        <w:t>, le nouveau bâtiment accueille, sur deux étages, un grand hall, un amphithéâtre, des laboratoires, une salle de détente et de nombreuses salles de cours.</w:t>
      </w:r>
    </w:p>
    <w:p w14:paraId="6CE5267F" w14:textId="77777777" w:rsidR="00607828" w:rsidRDefault="00607828" w:rsidP="00607828">
      <w:pPr>
        <w:autoSpaceDE w:val="0"/>
        <w:autoSpaceDN w:val="0"/>
        <w:spacing w:after="0" w:line="240" w:lineRule="auto"/>
        <w:rPr>
          <w:rFonts w:ascii="Arial" w:hAnsi="Arial" w:cs="Arial"/>
          <w:color w:val="221E1F"/>
        </w:rPr>
      </w:pPr>
    </w:p>
    <w:p w14:paraId="2E02B84B" w14:textId="77777777" w:rsidR="00607828" w:rsidRDefault="00607828" w:rsidP="00607828">
      <w:pPr>
        <w:autoSpaceDE w:val="0"/>
        <w:autoSpaceDN w:val="0"/>
        <w:spacing w:after="120" w:line="240" w:lineRule="auto"/>
        <w:rPr>
          <w:rFonts w:ascii="Arial" w:hAnsi="Arial" w:cs="Arial"/>
          <w:b/>
          <w:bCs/>
          <w:color w:val="221E1F"/>
          <w:sz w:val="24"/>
          <w:szCs w:val="24"/>
        </w:rPr>
      </w:pPr>
      <w:r>
        <w:rPr>
          <w:rFonts w:ascii="Arial" w:hAnsi="Arial" w:cs="Arial"/>
          <w:b/>
          <w:bCs/>
          <w:color w:val="221E1F"/>
          <w:sz w:val="24"/>
          <w:szCs w:val="24"/>
        </w:rPr>
        <w:t>Renforcer l’offre de formation sanitaire en Normandie</w:t>
      </w:r>
    </w:p>
    <w:p w14:paraId="3964ED4A" w14:textId="77777777" w:rsidR="00607828" w:rsidRDefault="00607828" w:rsidP="00607828">
      <w:pPr>
        <w:autoSpaceDE w:val="0"/>
        <w:autoSpaceDN w:val="0"/>
        <w:spacing w:after="0" w:line="240" w:lineRule="auto"/>
        <w:jc w:val="both"/>
        <w:rPr>
          <w:rFonts w:ascii="Arial" w:hAnsi="Arial" w:cs="Arial"/>
          <w:color w:val="221E1F"/>
        </w:rPr>
      </w:pPr>
      <w:r>
        <w:rPr>
          <w:rFonts w:ascii="Arial" w:hAnsi="Arial" w:cs="Arial"/>
          <w:color w:val="221E1F"/>
        </w:rPr>
        <w:t xml:space="preserve">A l’occasion de cette inauguration, Hervé Morin a rappelé les actions mises en place par la Région en 2020 pour renforcer l’offre de formation sanitaire en Normandie et accompagner les étudiants de cette filière. </w:t>
      </w:r>
    </w:p>
    <w:p w14:paraId="6FEFF3C4" w14:textId="77777777" w:rsidR="00607828" w:rsidRDefault="00607828" w:rsidP="00607828">
      <w:pPr>
        <w:autoSpaceDE w:val="0"/>
        <w:autoSpaceDN w:val="0"/>
        <w:spacing w:after="0" w:line="240" w:lineRule="auto"/>
        <w:jc w:val="both"/>
        <w:rPr>
          <w:rFonts w:ascii="Arial" w:hAnsi="Arial" w:cs="Arial"/>
          <w:color w:val="221E1F"/>
        </w:rPr>
      </w:pPr>
    </w:p>
    <w:p w14:paraId="636795C5" w14:textId="77777777" w:rsidR="00607828" w:rsidRDefault="00607828" w:rsidP="00607828">
      <w:pPr>
        <w:autoSpaceDE w:val="0"/>
        <w:autoSpaceDN w:val="0"/>
        <w:spacing w:after="0" w:line="240" w:lineRule="auto"/>
        <w:jc w:val="both"/>
        <w:rPr>
          <w:rFonts w:ascii="Arial" w:hAnsi="Arial" w:cs="Arial"/>
          <w:color w:val="221E1F"/>
        </w:rPr>
      </w:pPr>
      <w:r>
        <w:rPr>
          <w:rFonts w:ascii="Arial" w:hAnsi="Arial" w:cs="Arial"/>
          <w:color w:val="221E1F"/>
        </w:rPr>
        <w:t xml:space="preserve">En 2020, la Région a ainsi attribué près de 53 millions d’euros de dotations de fonctionnement aux instituts de formation sanitaire et sociale. 3 204 élèves et étudiants ont, par ailleurs, perçu une bourse régionale d’étude, au titre de l’année scolaire 2019-2020, pour un montant total de près de 8 millions d’euros. </w:t>
      </w:r>
    </w:p>
    <w:p w14:paraId="17E9923E" w14:textId="77777777" w:rsidR="00607828" w:rsidRDefault="00607828" w:rsidP="00607828">
      <w:pPr>
        <w:autoSpaceDE w:val="0"/>
        <w:autoSpaceDN w:val="0"/>
        <w:spacing w:after="0" w:line="240" w:lineRule="auto"/>
        <w:jc w:val="both"/>
        <w:rPr>
          <w:rFonts w:ascii="Arial" w:hAnsi="Arial" w:cs="Arial"/>
          <w:color w:val="221E1F"/>
        </w:rPr>
      </w:pPr>
    </w:p>
    <w:p w14:paraId="769C08AC" w14:textId="77777777" w:rsidR="00607828" w:rsidRDefault="00607828" w:rsidP="00607828">
      <w:pPr>
        <w:autoSpaceDE w:val="0"/>
        <w:autoSpaceDN w:val="0"/>
        <w:spacing w:after="0" w:line="240" w:lineRule="auto"/>
        <w:jc w:val="both"/>
        <w:rPr>
          <w:rFonts w:ascii="Arial" w:hAnsi="Arial" w:cs="Arial"/>
          <w:color w:val="221E1F"/>
        </w:rPr>
      </w:pPr>
      <w:r>
        <w:rPr>
          <w:rFonts w:ascii="Arial" w:hAnsi="Arial" w:cs="Arial"/>
          <w:color w:val="221E1F"/>
        </w:rPr>
        <w:t>En outre, afin de afin de reconnaitre l’engagement</w:t>
      </w:r>
      <w:r>
        <w:rPr>
          <w:rFonts w:ascii="Calibri" w:hAnsi="Calibri" w:cs="Calibri"/>
        </w:rPr>
        <w:t xml:space="preserve"> des </w:t>
      </w:r>
      <w:r>
        <w:rPr>
          <w:rFonts w:ascii="Arial" w:hAnsi="Arial" w:cs="Arial"/>
          <w:color w:val="221E1F"/>
        </w:rPr>
        <w:t xml:space="preserve">étudiants de la filière sanitaire fortement mobilisés dans le cadre de la crise du COVID-19, la Région a décidé le versement d’une aide individuelle aux élèves aides-soignants et étudiants en soins infirmiers ayant accompli, lors du premier confinement, un stage, dans un établissement médico-social, en unité </w:t>
      </w:r>
      <w:proofErr w:type="spellStart"/>
      <w:r>
        <w:rPr>
          <w:rFonts w:ascii="Arial" w:hAnsi="Arial" w:cs="Arial"/>
          <w:color w:val="221E1F"/>
        </w:rPr>
        <w:t>Covid</w:t>
      </w:r>
      <w:proofErr w:type="spellEnd"/>
      <w:r>
        <w:rPr>
          <w:rFonts w:ascii="Arial" w:hAnsi="Arial" w:cs="Arial"/>
          <w:color w:val="221E1F"/>
        </w:rPr>
        <w:t xml:space="preserve"> ou autre service, dans le cadre de leur parcours de formation. Plus de 2,35 millions d’euros d’aides ont été attribués dans ce cadre à 2208 étudiants. En complément, la Région a instauré la gratuité des transports ferroviaires et routiers pour les personnels de santé et les élèves et étudiants en formation sanitaire et sociale.</w:t>
      </w:r>
    </w:p>
    <w:p w14:paraId="5B059882" w14:textId="77777777" w:rsidR="00607828" w:rsidRDefault="00607828" w:rsidP="00607828">
      <w:pPr>
        <w:autoSpaceDE w:val="0"/>
        <w:autoSpaceDN w:val="0"/>
        <w:spacing w:after="0" w:line="240" w:lineRule="auto"/>
        <w:jc w:val="both"/>
        <w:rPr>
          <w:rFonts w:ascii="Arial" w:hAnsi="Arial" w:cs="Arial"/>
          <w:color w:val="221E1F"/>
        </w:rPr>
      </w:pPr>
    </w:p>
    <w:p w14:paraId="00B88DF8" w14:textId="77777777" w:rsidR="00607828" w:rsidRDefault="00607828" w:rsidP="00607828">
      <w:pPr>
        <w:autoSpaceDE w:val="0"/>
        <w:autoSpaceDN w:val="0"/>
        <w:spacing w:after="0" w:line="240" w:lineRule="auto"/>
        <w:jc w:val="both"/>
        <w:rPr>
          <w:rFonts w:ascii="Arial" w:hAnsi="Arial" w:cs="Arial"/>
          <w:color w:val="221E1F"/>
        </w:rPr>
      </w:pPr>
      <w:r>
        <w:rPr>
          <w:rFonts w:ascii="Arial" w:hAnsi="Arial" w:cs="Arial"/>
          <w:color w:val="221E1F"/>
        </w:rPr>
        <w:t>D’autre part, afin de renforcer le personnel soignant en Normandie, la</w:t>
      </w:r>
      <w:r>
        <w:rPr>
          <w:rFonts w:ascii="Arial" w:hAnsi="Arial" w:cs="Arial"/>
        </w:rPr>
        <w:t xml:space="preserve"> Région, qui élabore la carte des formations, a décidé d’augmenter le nombre de places dans les formations en Soins Infirmiers et Aides-Soignants. 76 places ont été d’ores et déjà été ouvertes, à la rentrée de septembre 2020, dans les IFSI et ce sont au total 276 places supplémentaires qui pourraient être créées à terme. Pour la formation aides-soignants, une ouverture de 380 places à horizon 2022 est envisagée. A l’issue de ces évolutions, 1 796 infirmiers et 1 713 aides-soignants pourront être formés chaque année en Normandie. </w:t>
      </w:r>
    </w:p>
    <w:p w14:paraId="432B154C" w14:textId="77777777" w:rsidR="00607828" w:rsidRDefault="00607828" w:rsidP="00607828">
      <w:pPr>
        <w:spacing w:after="0" w:line="240" w:lineRule="auto"/>
        <w:jc w:val="both"/>
        <w:rPr>
          <w:rFonts w:ascii="Arial" w:hAnsi="Arial" w:cs="Arial"/>
          <w:sz w:val="24"/>
          <w:szCs w:val="24"/>
        </w:rPr>
      </w:pPr>
    </w:p>
    <w:p w14:paraId="66DCD2E9" w14:textId="77777777" w:rsidR="00607828" w:rsidRPr="00F42E7A" w:rsidRDefault="00607828" w:rsidP="00607828">
      <w:pPr>
        <w:spacing w:after="0" w:line="240" w:lineRule="auto"/>
        <w:rPr>
          <w:rFonts w:ascii="Arial" w:hAnsi="Arial" w:cs="Arial"/>
        </w:rPr>
      </w:pPr>
      <w:r w:rsidRPr="00F42E7A">
        <w:rPr>
          <w:rFonts w:ascii="Arial" w:hAnsi="Arial" w:cs="Arial"/>
        </w:rPr>
        <w:t xml:space="preserve">Contact presse Région Normandie : </w:t>
      </w:r>
    </w:p>
    <w:p w14:paraId="409412D4" w14:textId="77777777" w:rsidR="00607828" w:rsidRPr="00F42E7A" w:rsidRDefault="00607828" w:rsidP="00607828">
      <w:pPr>
        <w:spacing w:after="0" w:line="240" w:lineRule="auto"/>
        <w:rPr>
          <w:rFonts w:ascii="Arial" w:hAnsi="Arial" w:cs="Arial"/>
        </w:rPr>
      </w:pPr>
      <w:r w:rsidRPr="00F42E7A">
        <w:rPr>
          <w:rFonts w:ascii="Arial" w:hAnsi="Arial" w:cs="Arial"/>
        </w:rPr>
        <w:t xml:space="preserve">Charlotte Chanteloup – 06 42 08 11 68 -  </w:t>
      </w:r>
      <w:hyperlink r:id="rId9" w:history="1">
        <w:r w:rsidRPr="00F42E7A">
          <w:rPr>
            <w:rStyle w:val="Lienhypertexte"/>
            <w:rFonts w:ascii="Arial" w:hAnsi="Arial" w:cs="Arial"/>
            <w:color w:val="0563C1"/>
          </w:rPr>
          <w:t>charlotte.chanteloup@normandie.fr</w:t>
        </w:r>
      </w:hyperlink>
    </w:p>
    <w:bookmarkEnd w:id="0"/>
    <w:p w14:paraId="5962414C" w14:textId="0CB49B7E" w:rsidR="009B5D02" w:rsidRPr="00325682" w:rsidRDefault="009B5D02" w:rsidP="00325682">
      <w:pPr>
        <w:autoSpaceDE w:val="0"/>
        <w:autoSpaceDN w:val="0"/>
        <w:adjustRightInd w:val="0"/>
        <w:spacing w:after="0" w:line="241" w:lineRule="atLeast"/>
        <w:ind w:left="40"/>
        <w:jc w:val="both"/>
        <w:rPr>
          <w:rFonts w:ascii="Arial" w:hAnsi="Arial" w:cs="Arial"/>
        </w:rPr>
      </w:pPr>
    </w:p>
    <w:sectPr w:rsidR="009B5D02" w:rsidRPr="00325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76"/>
    <w:rsid w:val="00041B58"/>
    <w:rsid w:val="00136AF6"/>
    <w:rsid w:val="00297410"/>
    <w:rsid w:val="00325682"/>
    <w:rsid w:val="003C3445"/>
    <w:rsid w:val="00422969"/>
    <w:rsid w:val="00470276"/>
    <w:rsid w:val="005228C4"/>
    <w:rsid w:val="005B6FEF"/>
    <w:rsid w:val="00607828"/>
    <w:rsid w:val="00991F69"/>
    <w:rsid w:val="009B5D02"/>
    <w:rsid w:val="00A002F2"/>
    <w:rsid w:val="00A43BA8"/>
    <w:rsid w:val="00A82A62"/>
    <w:rsid w:val="00C653EF"/>
    <w:rsid w:val="00D12221"/>
    <w:rsid w:val="00DB7511"/>
    <w:rsid w:val="00E117EB"/>
    <w:rsid w:val="00E65A11"/>
    <w:rsid w:val="00F42E7A"/>
    <w:rsid w:val="00FA3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349"/>
  <w15:chartTrackingRefBased/>
  <w15:docId w15:val="{93C057B9-A9B7-4FBE-8A84-DEE942F0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00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0744">
      <w:bodyDiv w:val="1"/>
      <w:marLeft w:val="0"/>
      <w:marRight w:val="0"/>
      <w:marTop w:val="0"/>
      <w:marBottom w:val="0"/>
      <w:divBdr>
        <w:top w:val="none" w:sz="0" w:space="0" w:color="auto"/>
        <w:left w:val="none" w:sz="0" w:space="0" w:color="auto"/>
        <w:bottom w:val="none" w:sz="0" w:space="0" w:color="auto"/>
        <w:right w:val="none" w:sz="0" w:space="0" w:color="auto"/>
      </w:divBdr>
    </w:div>
    <w:div w:id="872501007">
      <w:bodyDiv w:val="1"/>
      <w:marLeft w:val="0"/>
      <w:marRight w:val="0"/>
      <w:marTop w:val="0"/>
      <w:marBottom w:val="0"/>
      <w:divBdr>
        <w:top w:val="none" w:sz="0" w:space="0" w:color="auto"/>
        <w:left w:val="none" w:sz="0" w:space="0" w:color="auto"/>
        <w:bottom w:val="none" w:sz="0" w:space="0" w:color="auto"/>
        <w:right w:val="none" w:sz="0" w:space="0" w:color="auto"/>
      </w:divBdr>
    </w:div>
    <w:div w:id="1626235074">
      <w:bodyDiv w:val="1"/>
      <w:marLeft w:val="0"/>
      <w:marRight w:val="0"/>
      <w:marTop w:val="0"/>
      <w:marBottom w:val="0"/>
      <w:divBdr>
        <w:top w:val="none" w:sz="0" w:space="0" w:color="auto"/>
        <w:left w:val="none" w:sz="0" w:space="0" w:color="auto"/>
        <w:bottom w:val="none" w:sz="0" w:space="0" w:color="auto"/>
        <w:right w:val="none" w:sz="0" w:space="0" w:color="auto"/>
      </w:divBdr>
    </w:div>
    <w:div w:id="20747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602</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14</cp:revision>
  <dcterms:created xsi:type="dcterms:W3CDTF">2021-03-09T14:08:00Z</dcterms:created>
  <dcterms:modified xsi:type="dcterms:W3CDTF">2021-03-11T15:07:00Z</dcterms:modified>
</cp:coreProperties>
</file>