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79914" w14:textId="77777777" w:rsidR="009B7334" w:rsidRPr="00250E90" w:rsidRDefault="009B7334" w:rsidP="009B7334">
      <w:pPr>
        <w:pStyle w:val="Default"/>
        <w:ind w:left="-1134"/>
        <w:jc w:val="center"/>
        <w:rPr>
          <w:rFonts w:ascii="Arial" w:hAnsi="Arial" w:cs="Arial"/>
          <w:sz w:val="22"/>
          <w:szCs w:val="22"/>
        </w:rPr>
      </w:pPr>
      <w:bookmarkStart w:id="0" w:name="_Hlk98838572"/>
      <w:bookmarkStart w:id="1" w:name="_Hlk99383554"/>
      <w:r>
        <w:rPr>
          <w:rFonts w:ascii="Arial" w:hAnsi="Arial" w:cs="Arial"/>
          <w:noProof/>
          <w:sz w:val="22"/>
          <w:szCs w:val="22"/>
          <w:lang w:eastAsia="fr-FR"/>
        </w:rPr>
        <w:drawing>
          <wp:inline distT="0" distB="0" distL="0" distR="0" wp14:anchorId="391853CE" wp14:editId="7553E0DF">
            <wp:extent cx="7175634" cy="676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14:paraId="2122536F" w14:textId="59CA86B5" w:rsidR="00EA009D" w:rsidRDefault="00EA009D" w:rsidP="00EA009D">
      <w:pPr>
        <w:pStyle w:val="Default"/>
        <w:ind w:left="-993"/>
        <w:jc w:val="center"/>
        <w:rPr>
          <w:rFonts w:ascii="Arial" w:hAnsi="Arial" w:cs="Arial"/>
          <w:noProof/>
          <w:sz w:val="22"/>
          <w:szCs w:val="22"/>
          <w:lang w:eastAsia="fr-FR"/>
        </w:rPr>
      </w:pPr>
    </w:p>
    <w:tbl>
      <w:tblPr>
        <w:tblW w:w="0" w:type="auto"/>
        <w:tblCellMar>
          <w:left w:w="0" w:type="dxa"/>
          <w:right w:w="0" w:type="dxa"/>
        </w:tblCellMar>
        <w:tblLook w:val="04A0" w:firstRow="1" w:lastRow="0" w:firstColumn="1" w:lastColumn="0" w:noHBand="0" w:noVBand="1"/>
      </w:tblPr>
      <w:tblGrid>
        <w:gridCol w:w="3020"/>
        <w:gridCol w:w="3021"/>
        <w:gridCol w:w="3021"/>
      </w:tblGrid>
      <w:tr w:rsidR="00EA009D" w14:paraId="145C3E98" w14:textId="77777777" w:rsidTr="00467936">
        <w:tc>
          <w:tcPr>
            <w:tcW w:w="3020" w:type="dxa"/>
            <w:tcMar>
              <w:top w:w="0" w:type="dxa"/>
              <w:left w:w="108" w:type="dxa"/>
              <w:bottom w:w="0" w:type="dxa"/>
              <w:right w:w="108" w:type="dxa"/>
            </w:tcMar>
            <w:hideMark/>
          </w:tcPr>
          <w:p w14:paraId="3CE78CAF" w14:textId="77777777" w:rsidR="00EA009D" w:rsidRDefault="00EA009D" w:rsidP="00467936">
            <w:r>
              <w:rPr>
                <w:noProof/>
              </w:rPr>
              <w:drawing>
                <wp:inline distT="0" distB="0" distL="0" distR="0" wp14:anchorId="3E623944" wp14:editId="543CD296">
                  <wp:extent cx="1079500" cy="1079500"/>
                  <wp:effectExtent l="0" t="0" r="6350" b="6350"/>
                  <wp:docPr id="3" name="Image 3" descr="cid:image002.jpg@01D83F63.43D75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83F63.43D75F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c>
          <w:tcPr>
            <w:tcW w:w="3021" w:type="dxa"/>
            <w:tcMar>
              <w:top w:w="0" w:type="dxa"/>
              <w:left w:w="108" w:type="dxa"/>
              <w:bottom w:w="0" w:type="dxa"/>
              <w:right w:w="108" w:type="dxa"/>
            </w:tcMar>
            <w:hideMark/>
          </w:tcPr>
          <w:p w14:paraId="1A0CFABB" w14:textId="77777777" w:rsidR="00EA009D" w:rsidRDefault="00EA009D" w:rsidP="00467936">
            <w:r>
              <w:rPr>
                <w:noProof/>
              </w:rPr>
              <w:drawing>
                <wp:inline distT="0" distB="0" distL="0" distR="0" wp14:anchorId="62EE17A7" wp14:editId="630E3C41">
                  <wp:extent cx="1447800" cy="1079500"/>
                  <wp:effectExtent l="0" t="0" r="0" b="6350"/>
                  <wp:docPr id="2" name="Image 2" descr="cid:image003.png@01D83F63.43D75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83F63.43D75F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7800" cy="1079500"/>
                          </a:xfrm>
                          <a:prstGeom prst="rect">
                            <a:avLst/>
                          </a:prstGeom>
                          <a:noFill/>
                          <a:ln>
                            <a:noFill/>
                          </a:ln>
                        </pic:spPr>
                      </pic:pic>
                    </a:graphicData>
                  </a:graphic>
                </wp:inline>
              </w:drawing>
            </w:r>
          </w:p>
        </w:tc>
        <w:tc>
          <w:tcPr>
            <w:tcW w:w="3021" w:type="dxa"/>
            <w:tcMar>
              <w:top w:w="0" w:type="dxa"/>
              <w:left w:w="108" w:type="dxa"/>
              <w:bottom w:w="0" w:type="dxa"/>
              <w:right w:w="108" w:type="dxa"/>
            </w:tcMar>
            <w:hideMark/>
          </w:tcPr>
          <w:p w14:paraId="7EFB93A6" w14:textId="77777777" w:rsidR="00EA009D" w:rsidRDefault="00EA009D" w:rsidP="00467936">
            <w:r>
              <w:rPr>
                <w:noProof/>
              </w:rPr>
              <w:drawing>
                <wp:inline distT="0" distB="0" distL="0" distR="0" wp14:anchorId="342A7A9B" wp14:editId="5CAE62D9">
                  <wp:extent cx="1200150" cy="1136650"/>
                  <wp:effectExtent l="0" t="0" r="0" b="6350"/>
                  <wp:docPr id="1" name="Image 1" descr="cid:image004.jpg@01D83F63.43D75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83F63.43D75F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00150" cy="1136650"/>
                          </a:xfrm>
                          <a:prstGeom prst="rect">
                            <a:avLst/>
                          </a:prstGeom>
                          <a:noFill/>
                          <a:ln>
                            <a:noFill/>
                          </a:ln>
                        </pic:spPr>
                      </pic:pic>
                    </a:graphicData>
                  </a:graphic>
                </wp:inline>
              </w:drawing>
            </w:r>
          </w:p>
        </w:tc>
      </w:tr>
    </w:tbl>
    <w:p w14:paraId="31DA074A" w14:textId="77777777" w:rsidR="00EA009D" w:rsidRDefault="00EA009D" w:rsidP="00EA009D"/>
    <w:p w14:paraId="5384E902" w14:textId="2C3CA151" w:rsidR="00EA009D" w:rsidRDefault="00EA009D" w:rsidP="005419BA">
      <w:pPr>
        <w:spacing w:after="0" w:line="240" w:lineRule="auto"/>
        <w:jc w:val="right"/>
      </w:pPr>
      <w:r w:rsidRPr="00C05AD1">
        <w:t>Le</w:t>
      </w:r>
      <w:r w:rsidR="00BA7294" w:rsidRPr="00C05AD1">
        <w:t xml:space="preserve"> 31</w:t>
      </w:r>
      <w:r w:rsidRPr="00C05AD1">
        <w:t xml:space="preserve"> mars 2022</w:t>
      </w:r>
    </w:p>
    <w:p w14:paraId="2D0563CA" w14:textId="77777777" w:rsidR="004A3A09" w:rsidRPr="00C05AD1" w:rsidRDefault="004A3A09" w:rsidP="005419BA">
      <w:pPr>
        <w:spacing w:after="0" w:line="240" w:lineRule="auto"/>
        <w:jc w:val="right"/>
      </w:pPr>
    </w:p>
    <w:p w14:paraId="7020867D" w14:textId="308390CD" w:rsidR="00EA009D" w:rsidRDefault="00EA009D" w:rsidP="005419BA">
      <w:pPr>
        <w:spacing w:after="0" w:line="240" w:lineRule="auto"/>
        <w:jc w:val="both"/>
        <w:rPr>
          <w:color w:val="000000"/>
        </w:rPr>
      </w:pPr>
    </w:p>
    <w:p w14:paraId="1AD47972" w14:textId="77777777" w:rsidR="005419BA" w:rsidRPr="009C3540" w:rsidRDefault="005419BA" w:rsidP="005419BA">
      <w:pPr>
        <w:pStyle w:val="Titre1"/>
        <w:spacing w:line="240" w:lineRule="auto"/>
        <w:rPr>
          <w:color w:val="auto"/>
        </w:rPr>
      </w:pPr>
      <w:r w:rsidRPr="009C3540">
        <w:rPr>
          <w:rFonts w:ascii="Arial" w:hAnsi="Arial"/>
          <w:color w:val="auto"/>
        </w:rPr>
        <w:t xml:space="preserve">CAMPUS CYBER CAEN NORMANDIE : </w:t>
      </w:r>
    </w:p>
    <w:p w14:paraId="6443D890" w14:textId="77777777" w:rsidR="005419BA" w:rsidRPr="009C3540" w:rsidRDefault="005419BA" w:rsidP="005419BA">
      <w:pPr>
        <w:pStyle w:val="Sous-titre"/>
        <w:spacing w:line="240" w:lineRule="auto"/>
        <w:rPr>
          <w:rFonts w:eastAsiaTheme="minorHAnsi"/>
          <w:color w:val="auto"/>
        </w:rPr>
      </w:pPr>
      <w:r w:rsidRPr="009C3540">
        <w:rPr>
          <w:rFonts w:ascii="Arial" w:hAnsi="Arial" w:cs="Arial"/>
          <w:color w:val="auto"/>
        </w:rPr>
        <w:t>Les acteurs de la cyber sécurité s’organisent pour préfigurer un futur campus territorial de la cybersécurité</w:t>
      </w:r>
    </w:p>
    <w:p w14:paraId="19D7F776" w14:textId="77777777" w:rsidR="005419BA" w:rsidRDefault="005419BA" w:rsidP="005419BA">
      <w:pPr>
        <w:spacing w:after="0" w:line="240" w:lineRule="auto"/>
        <w:jc w:val="both"/>
      </w:pPr>
      <w:r>
        <w:rPr>
          <w:color w:val="000000"/>
        </w:rPr>
        <w:t> </w:t>
      </w:r>
    </w:p>
    <w:p w14:paraId="0D3D39F8" w14:textId="77777777" w:rsidR="005419BA" w:rsidRPr="009C3540" w:rsidRDefault="005419BA" w:rsidP="005419BA">
      <w:pPr>
        <w:pStyle w:val="NormalWeb"/>
        <w:spacing w:before="0" w:beforeAutospacing="0" w:after="0" w:afterAutospacing="0"/>
        <w:jc w:val="both"/>
      </w:pPr>
      <w:r w:rsidRPr="009C3540">
        <w:rPr>
          <w:rStyle w:val="lev"/>
          <w:rFonts w:ascii="Arial" w:hAnsi="Arial" w:cs="Arial"/>
          <w:color w:val="000000"/>
          <w:sz w:val="22"/>
          <w:szCs w:val="22"/>
        </w:rPr>
        <w:t xml:space="preserve">Jeudi 31 mars, au MOHO à Caen, </w:t>
      </w:r>
      <w:r w:rsidRPr="009C3540">
        <w:rPr>
          <w:rFonts w:ascii="Arial" w:hAnsi="Arial" w:cs="Arial"/>
          <w:b/>
          <w:color w:val="000000"/>
          <w:sz w:val="22"/>
          <w:szCs w:val="22"/>
        </w:rPr>
        <w:t>Fabrice Clerc, Président de l’association Campus Cyber Caen Normandie, Hervé Morin, Président de la Région Normandie et Joël Bruneau, Président de la Communauté urbaine Caen la mer ont présenté aux partenaires</w:t>
      </w:r>
      <w:r w:rsidRPr="009C3540">
        <w:rPr>
          <w:rStyle w:val="lev"/>
          <w:rFonts w:ascii="Arial" w:hAnsi="Arial" w:cs="Arial"/>
          <w:b w:val="0"/>
          <w:color w:val="000000"/>
          <w:sz w:val="22"/>
          <w:szCs w:val="22"/>
        </w:rPr>
        <w:t xml:space="preserve"> </w:t>
      </w:r>
      <w:r w:rsidRPr="009C3540">
        <w:rPr>
          <w:rFonts w:ascii="Arial" w:hAnsi="Arial" w:cs="Arial"/>
          <w:b/>
          <w:color w:val="000000"/>
          <w:sz w:val="22"/>
          <w:szCs w:val="22"/>
        </w:rPr>
        <w:t>le</w:t>
      </w:r>
      <w:r w:rsidRPr="009C3540">
        <w:rPr>
          <w:rFonts w:ascii="Arial" w:hAnsi="Arial" w:cs="Arial"/>
          <w:color w:val="000000"/>
          <w:sz w:val="22"/>
          <w:szCs w:val="22"/>
        </w:rPr>
        <w:t xml:space="preserve"> </w:t>
      </w:r>
      <w:r w:rsidRPr="009C3540">
        <w:rPr>
          <w:rStyle w:val="lev"/>
          <w:rFonts w:ascii="Arial" w:hAnsi="Arial" w:cs="Arial"/>
          <w:color w:val="000000"/>
          <w:sz w:val="22"/>
          <w:szCs w:val="22"/>
        </w:rPr>
        <w:t xml:space="preserve">projet de création du Campus Cyber Caen Normandie, déclinaison territoriale de </w:t>
      </w:r>
      <w:r w:rsidRPr="009C3540">
        <w:rPr>
          <w:rFonts w:ascii="Arial" w:hAnsi="Arial" w:cs="Arial"/>
          <w:b/>
          <w:color w:val="000000"/>
          <w:sz w:val="22"/>
          <w:szCs w:val="22"/>
        </w:rPr>
        <w:t>Campus Cyber France, installé à Paris/La Défense depuis février 2022.</w:t>
      </w:r>
    </w:p>
    <w:p w14:paraId="12B33BC8" w14:textId="073825C0" w:rsidR="005419BA" w:rsidRPr="005419BA" w:rsidRDefault="005419BA" w:rsidP="005419BA">
      <w:pPr>
        <w:pStyle w:val="NormalWeb"/>
        <w:spacing w:before="0" w:beforeAutospacing="0" w:after="0" w:afterAutospacing="0"/>
        <w:jc w:val="both"/>
        <w:rPr>
          <w:rFonts w:ascii="Arial" w:hAnsi="Arial" w:cs="Arial"/>
          <w:sz w:val="22"/>
          <w:szCs w:val="22"/>
        </w:rPr>
      </w:pPr>
      <w:r w:rsidRPr="005419BA">
        <w:rPr>
          <w:rStyle w:val="lev"/>
          <w:rFonts w:ascii="Arial" w:hAnsi="Arial" w:cs="Arial"/>
          <w:b w:val="0"/>
          <w:bCs w:val="0"/>
          <w:color w:val="000000"/>
          <w:sz w:val="22"/>
          <w:szCs w:val="22"/>
        </w:rPr>
        <w:t> </w:t>
      </w:r>
    </w:p>
    <w:p w14:paraId="549DBAE1" w14:textId="5AB92249" w:rsidR="005419BA" w:rsidRPr="009C3540" w:rsidRDefault="005419BA" w:rsidP="009C3540">
      <w:pPr>
        <w:spacing w:after="0" w:line="240" w:lineRule="auto"/>
        <w:jc w:val="both"/>
        <w:rPr>
          <w:i/>
        </w:rPr>
      </w:pPr>
      <w:r w:rsidRPr="009C3540">
        <w:rPr>
          <w:b/>
        </w:rPr>
        <w:t>Fabrice Clerc</w:t>
      </w:r>
      <w:r w:rsidRPr="009C3540">
        <w:t> :</w:t>
      </w:r>
      <w:r w:rsidRPr="009C3540">
        <w:rPr>
          <w:i/>
        </w:rPr>
        <w:t xml:space="preserve"> « </w:t>
      </w:r>
      <w:r w:rsidRPr="009C3540">
        <w:rPr>
          <w:i/>
        </w:rPr>
        <w:t>Voir l’écosystème normand se réunir aujourd’hui et porter ensemble ce projet de Campus Cyber Territorial est déjà une grande réussite. Ce futur Campus Cyber Territorial a pour vocation de créer une offre de services (solutions de protection, de prévention), d’enrichir l’offre de formations et de poursuivre les efforts de recherche faisant ainsi de notre Région un territoire innovant en cybersécurité.</w:t>
      </w:r>
      <w:r w:rsidRPr="009C3540">
        <w:rPr>
          <w:i/>
        </w:rPr>
        <w:t> »</w:t>
      </w:r>
    </w:p>
    <w:p w14:paraId="0B652257" w14:textId="77777777" w:rsidR="005419BA" w:rsidRPr="009C3540" w:rsidRDefault="005419BA" w:rsidP="009C3540">
      <w:pPr>
        <w:spacing w:after="0" w:line="240" w:lineRule="auto"/>
        <w:jc w:val="both"/>
        <w:rPr>
          <w:b/>
        </w:rPr>
      </w:pPr>
    </w:p>
    <w:p w14:paraId="421726C3" w14:textId="2A60534B" w:rsidR="005419BA" w:rsidRPr="009C3540" w:rsidRDefault="005419BA" w:rsidP="009C3540">
      <w:pPr>
        <w:spacing w:after="0" w:line="240" w:lineRule="auto"/>
        <w:jc w:val="both"/>
      </w:pPr>
      <w:r w:rsidRPr="009C3540">
        <w:rPr>
          <w:b/>
        </w:rPr>
        <w:t> </w:t>
      </w:r>
      <w:r w:rsidRPr="009C3540">
        <w:rPr>
          <w:b/>
        </w:rPr>
        <w:t>Hervé Morin</w:t>
      </w:r>
      <w:r w:rsidRPr="009C3540">
        <w:t xml:space="preserve"> : </w:t>
      </w:r>
      <w:r w:rsidR="009C3540">
        <w:t>« </w:t>
      </w:r>
      <w:r w:rsidRPr="009C3540">
        <w:rPr>
          <w:i/>
        </w:rPr>
        <w:t>Je me félicite de cette initiative. Il faut que l’on b</w:t>
      </w:r>
      <w:r w:rsidR="009C3540" w:rsidRPr="009C3540">
        <w:rPr>
          <w:i/>
        </w:rPr>
        <w:t>â</w:t>
      </w:r>
      <w:r w:rsidRPr="009C3540">
        <w:rPr>
          <w:i/>
        </w:rPr>
        <w:t>tisse en Normandie un écosystème d’excellence dans le domaine cyber. Au national, ce secteur est porteur de dizaines de millier</w:t>
      </w:r>
      <w:r w:rsidR="009C3540" w:rsidRPr="009C3540">
        <w:rPr>
          <w:i/>
        </w:rPr>
        <w:t>s</w:t>
      </w:r>
      <w:r w:rsidRPr="009C3540">
        <w:rPr>
          <w:i/>
        </w:rPr>
        <w:t xml:space="preserve"> d’emplois</w:t>
      </w:r>
      <w:r w:rsidR="009C3540" w:rsidRPr="009C3540">
        <w:rPr>
          <w:i/>
        </w:rPr>
        <w:t>. C’est pourquoi, j’ai mandaté l’Université de Caen pour bâtir un cursus universitaire dans ce domaine. La Région est aussi l’une des deux Régions françaises à avo</w:t>
      </w:r>
      <w:r w:rsidR="009C3540">
        <w:rPr>
          <w:i/>
        </w:rPr>
        <w:t>i</w:t>
      </w:r>
      <w:r w:rsidR="009C3540" w:rsidRPr="009C3540">
        <w:rPr>
          <w:i/>
        </w:rPr>
        <w:t>r signé une convention avec l’Agence nationale de la Sécurité des Systèmes d’Information (ANSSI) qui nous accompagne dans la création d’un centre d’urgence cyber régional. Il sera géré par l’Agence de Développement pour la Normandie. Dans sa première phase, il permettra aux entrepreneurs et aux collectivités confrontés à une cyberattaque d’être orientés vers des solutions dans les plus brefs délais. »</w:t>
      </w:r>
    </w:p>
    <w:p w14:paraId="0D36EC72" w14:textId="77777777" w:rsidR="005419BA" w:rsidRPr="009C3540" w:rsidRDefault="005419BA" w:rsidP="005419BA">
      <w:pPr>
        <w:spacing w:after="0" w:line="240" w:lineRule="auto"/>
      </w:pPr>
      <w:r w:rsidRPr="009C3540">
        <w:t> </w:t>
      </w:r>
    </w:p>
    <w:p w14:paraId="62CC5C53" w14:textId="0A1C4370" w:rsidR="005419BA" w:rsidRPr="009C3540" w:rsidRDefault="005419BA" w:rsidP="005419BA">
      <w:pPr>
        <w:spacing w:after="0" w:line="240" w:lineRule="auto"/>
      </w:pPr>
      <w:r w:rsidRPr="009C3540">
        <w:rPr>
          <w:b/>
        </w:rPr>
        <w:t>Joël Bruneau</w:t>
      </w:r>
      <w:r w:rsidRPr="009C3540">
        <w:rPr>
          <w:b/>
        </w:rPr>
        <w:t> :</w:t>
      </w:r>
      <w:r w:rsidRPr="009C3540">
        <w:t xml:space="preserve"> </w:t>
      </w:r>
      <w:r w:rsidRPr="009C3540">
        <w:rPr>
          <w:i/>
        </w:rPr>
        <w:t>« </w:t>
      </w:r>
      <w:r w:rsidRPr="009C3540">
        <w:rPr>
          <w:i/>
        </w:rPr>
        <w:t>Consciente des enjeux de la menace cyber mais aussi du potentiel de développement économique de cette filière, Caen la mer a pleinement mobilisé l’écosystème de la cybersécurité de son territoire. En octobre dernier, sous son impulsion, l’association Campus Cyber Caen Normandie a vu le jour permettant ainsi de faire le premier pas vers la création d’un Campus Cyber à Caen Normandie.</w:t>
      </w:r>
      <w:r w:rsidRPr="009C3540">
        <w:rPr>
          <w:i/>
        </w:rPr>
        <w:t> »</w:t>
      </w:r>
    </w:p>
    <w:p w14:paraId="54FEBED5" w14:textId="77777777" w:rsidR="005419BA" w:rsidRPr="009C3540" w:rsidRDefault="005419BA" w:rsidP="005419BA">
      <w:pPr>
        <w:pStyle w:val="NormalWeb"/>
        <w:spacing w:before="0" w:beforeAutospacing="0" w:after="0" w:afterAutospacing="0"/>
        <w:jc w:val="both"/>
        <w:rPr>
          <w:rFonts w:ascii="Arial" w:hAnsi="Arial" w:cs="Arial"/>
          <w:sz w:val="22"/>
          <w:szCs w:val="22"/>
        </w:rPr>
      </w:pPr>
      <w:r w:rsidRPr="009C3540">
        <w:rPr>
          <w:rFonts w:ascii="Arial" w:hAnsi="Arial" w:cs="Arial"/>
          <w:sz w:val="22"/>
          <w:szCs w:val="22"/>
        </w:rPr>
        <w:t> </w:t>
      </w:r>
    </w:p>
    <w:p w14:paraId="1C635A9C" w14:textId="77777777" w:rsidR="005419BA" w:rsidRPr="009C3540" w:rsidRDefault="005419BA" w:rsidP="005419BA">
      <w:pPr>
        <w:pStyle w:val="Titre2"/>
        <w:spacing w:line="240" w:lineRule="auto"/>
        <w:rPr>
          <w:rFonts w:eastAsia="Times New Roman"/>
          <w:color w:val="auto"/>
        </w:rPr>
      </w:pPr>
      <w:r w:rsidRPr="009C3540">
        <w:rPr>
          <w:rFonts w:ascii="Arial" w:eastAsia="Times New Roman" w:hAnsi="Arial" w:cs="Arial"/>
          <w:color w:val="auto"/>
          <w:sz w:val="22"/>
        </w:rPr>
        <w:t>Un campus cyber territorial</w:t>
      </w:r>
    </w:p>
    <w:p w14:paraId="1D1AA026" w14:textId="4C682595" w:rsidR="005419BA" w:rsidRPr="009C3540" w:rsidRDefault="005419BA" w:rsidP="009C3540">
      <w:pPr>
        <w:pStyle w:val="NormalWeb"/>
        <w:spacing w:before="0" w:beforeAutospacing="0" w:after="0" w:afterAutospacing="0"/>
        <w:jc w:val="both"/>
        <w:rPr>
          <w:b/>
        </w:rPr>
      </w:pPr>
      <w:r w:rsidRPr="009C3540">
        <w:rPr>
          <w:rStyle w:val="lev"/>
          <w:b w:val="0"/>
          <w:bCs w:val="0"/>
        </w:rPr>
        <w:t> </w:t>
      </w:r>
      <w:bookmarkStart w:id="2" w:name="_GoBack"/>
      <w:bookmarkEnd w:id="2"/>
      <w:r w:rsidRPr="009C3540">
        <w:rPr>
          <w:rStyle w:val="lev"/>
          <w:rFonts w:ascii="Arial" w:hAnsi="Arial" w:cs="Arial"/>
          <w:b w:val="0"/>
        </w:rPr>
        <w:t xml:space="preserve">Connecté au Campus Cyber National, le campus territorial aura pour mission de rassembler et renforcer l’expertise cyber en Normandie, de mieux protéger les </w:t>
      </w:r>
      <w:r w:rsidRPr="009C3540">
        <w:rPr>
          <w:rStyle w:val="lev"/>
          <w:rFonts w:ascii="Arial" w:hAnsi="Arial" w:cs="Arial"/>
          <w:b w:val="0"/>
        </w:rPr>
        <w:lastRenderedPageBreak/>
        <w:t>territoires et participer au rayonnement de l’expertise cyber française à l’échelon international. Le Campus Cyber Caen Normandie pourra voir</w:t>
      </w:r>
      <w:r w:rsidRPr="009C3540">
        <w:rPr>
          <w:rStyle w:val="lev"/>
          <w:rFonts w:ascii="Arial" w:hAnsi="Arial" w:cs="Arial"/>
          <w:b w:val="0"/>
          <w:bCs w:val="0"/>
        </w:rPr>
        <w:t xml:space="preserve"> </w:t>
      </w:r>
      <w:r w:rsidRPr="009C3540">
        <w:rPr>
          <w:rStyle w:val="lev"/>
          <w:rFonts w:ascii="Arial" w:hAnsi="Arial" w:cs="Arial"/>
          <w:b w:val="0"/>
        </w:rPr>
        <w:t xml:space="preserve">le jour en 2023. </w:t>
      </w:r>
    </w:p>
    <w:p w14:paraId="217E9C10" w14:textId="77777777" w:rsidR="005419BA" w:rsidRPr="009C3540" w:rsidRDefault="005419BA" w:rsidP="005419BA">
      <w:pPr>
        <w:autoSpaceDE w:val="0"/>
        <w:autoSpaceDN w:val="0"/>
        <w:spacing w:after="0" w:line="240" w:lineRule="auto"/>
        <w:jc w:val="both"/>
      </w:pPr>
      <w:r w:rsidRPr="009C3540">
        <w:rPr>
          <w:rStyle w:val="lev"/>
          <w:b w:val="0"/>
          <w:bCs w:val="0"/>
        </w:rPr>
        <w:t> </w:t>
      </w:r>
    </w:p>
    <w:p w14:paraId="1135C584" w14:textId="5745D232" w:rsidR="005419BA" w:rsidRPr="009C3540" w:rsidRDefault="005419BA" w:rsidP="005419BA">
      <w:pPr>
        <w:autoSpaceDE w:val="0"/>
        <w:autoSpaceDN w:val="0"/>
        <w:spacing w:after="0" w:line="240" w:lineRule="auto"/>
        <w:jc w:val="both"/>
      </w:pPr>
      <w:r w:rsidRPr="009C3540">
        <w:t>Le projet de création d’un Campus Cyber Normand a une portée nationale et s’inscrit dans le réseau des campus cyber territoriaux.</w:t>
      </w:r>
      <w:r w:rsidRPr="009C3540">
        <w:rPr>
          <w:rStyle w:val="lev"/>
          <w:b w:val="0"/>
          <w:bCs w:val="0"/>
        </w:rPr>
        <w:t xml:space="preserve"> </w:t>
      </w:r>
      <w:r w:rsidRPr="009C3540">
        <w:t>L’objectif de ces campus est de développer une offre de service à destination des organisations ciblées par la cybercriminalité mais également de susciter des vocations et développer les formations autour des métiers de la cybersécurité.</w:t>
      </w:r>
    </w:p>
    <w:p w14:paraId="2C9DBBA1" w14:textId="77777777" w:rsidR="009C3540" w:rsidRPr="009C3540" w:rsidRDefault="009C3540" w:rsidP="005419BA">
      <w:pPr>
        <w:autoSpaceDE w:val="0"/>
        <w:autoSpaceDN w:val="0"/>
        <w:spacing w:after="0" w:line="240" w:lineRule="auto"/>
        <w:jc w:val="both"/>
      </w:pPr>
    </w:p>
    <w:p w14:paraId="56E7192A" w14:textId="3A33E5CE" w:rsidR="005419BA" w:rsidRPr="009C3540" w:rsidRDefault="005419BA" w:rsidP="005419BA">
      <w:pPr>
        <w:spacing w:after="0" w:line="240" w:lineRule="auto"/>
        <w:jc w:val="both"/>
      </w:pPr>
      <w:r w:rsidRPr="009C3540">
        <w:t>La France demeure très dépendante des solutions non-européennes dans le secteur numérique. C’est pourquoi, l’Etat a mis en œuvre un plan de relance et des stratégies d’accélération, qui se concentrent sur les secteurs critiques comme la cybersécurité. Dotée d’un fort potentiel économique, dont attestent les 10 à 12% de taux de croissance annuelle moyen de la filière française durant les dernières années, la cybersécurité présente aussi de très nombreuses opportunités en termes d’emploi, à tous les niveaux de formation (du baccalauréat professionnel au doctorant). La sensibilité de la filière et les enjeux qu’elle présente en termes de sécurité justifient la nécessité de disposer de solutions performantes, de confiance et souveraines. Les travaux ont débouché sur une feuille de route nationale ambitieuse, dite « stratégie d’accélération cybersécurité</w:t>
      </w:r>
      <w:r w:rsidRPr="009C3540">
        <w:rPr>
          <w:b/>
          <w:bCs/>
        </w:rPr>
        <w:t xml:space="preserve"> »</w:t>
      </w:r>
      <w:r w:rsidRPr="009C3540">
        <w:t xml:space="preserve">, dotée de plusieurs mesures. </w:t>
      </w:r>
    </w:p>
    <w:p w14:paraId="7403F343" w14:textId="77777777" w:rsidR="009C3540" w:rsidRPr="009C3540" w:rsidRDefault="009C3540" w:rsidP="005419BA">
      <w:pPr>
        <w:spacing w:after="0" w:line="240" w:lineRule="auto"/>
        <w:jc w:val="both"/>
      </w:pPr>
    </w:p>
    <w:p w14:paraId="7ABD53A5" w14:textId="569852F7" w:rsidR="005419BA" w:rsidRPr="009C3540" w:rsidRDefault="005419BA" w:rsidP="005419BA">
      <w:pPr>
        <w:spacing w:after="0" w:line="240" w:lineRule="auto"/>
        <w:jc w:val="both"/>
      </w:pPr>
      <w:r w:rsidRPr="009C3540">
        <w:t xml:space="preserve">La principale mesure prise est la création du « Campus Cyber National » à Paris, lieu d’accueil d’un écosystème orienté vers et pour la cybersécurité, composé d’entreprises de toutes tailles, d’organismes de recherche et de formation, d’administrations publiques, d’associations. Le Campus Cyber France réunit plus de 1 800 experts à Paris. </w:t>
      </w:r>
    </w:p>
    <w:p w14:paraId="2CB3B0DD" w14:textId="77777777" w:rsidR="009C3540" w:rsidRPr="009C3540" w:rsidRDefault="009C3540" w:rsidP="005419BA">
      <w:pPr>
        <w:spacing w:after="0" w:line="240" w:lineRule="auto"/>
        <w:jc w:val="both"/>
      </w:pPr>
    </w:p>
    <w:p w14:paraId="4C3ED6A7" w14:textId="0494CDAE" w:rsidR="005419BA" w:rsidRPr="009C3540" w:rsidRDefault="005419BA" w:rsidP="005419BA">
      <w:pPr>
        <w:spacing w:after="0" w:line="240" w:lineRule="auto"/>
        <w:jc w:val="both"/>
      </w:pPr>
      <w:r w:rsidRPr="009C3540">
        <w:t>Ce campus accueille et favorise la collaboration entre les entreprises (grands groupes, PME et startups), les services de l’État (ANSSI, Ministère de l’Intérieur, Ministère des Armées…), les acteurs de la recherche (INRIA, CEA, CNRS…), les organismes de formation et des associations. Son objectif est de fédérer la communauté nationale de la cybersécurité et de développer des synergies entre les différents acteurs, métiers et compétences. Ce Campus disposera d’antennes régionales afin de dynamiser les écosystèmes locaux.</w:t>
      </w:r>
    </w:p>
    <w:p w14:paraId="5BA332F3" w14:textId="77777777" w:rsidR="009C3540" w:rsidRPr="009C3540" w:rsidRDefault="009C3540" w:rsidP="005419BA">
      <w:pPr>
        <w:spacing w:after="0" w:line="240" w:lineRule="auto"/>
        <w:jc w:val="both"/>
      </w:pPr>
    </w:p>
    <w:p w14:paraId="21BDAC4C" w14:textId="1EE66A99" w:rsidR="005419BA" w:rsidRPr="009C3540" w:rsidRDefault="005419BA" w:rsidP="005419BA">
      <w:pPr>
        <w:spacing w:after="0" w:line="240" w:lineRule="auto"/>
        <w:jc w:val="both"/>
      </w:pPr>
      <w:r w:rsidRPr="009C3540">
        <w:t>Dans ce contexte et à l’initiative de la Communauté urbaine Caen la mer et de son agence de développement économique, Caen Normandie Développement, les acteurs locaux de la cybersécurité s’organisent et ont créé le 6 octobre 2021 l’association Campus Cyber Caen Normandie. Cette association a pour vocation de préfigurer le futur campus cyber territorial, antenne du Campus Cyber National situé à la Défense, Paris.</w:t>
      </w:r>
    </w:p>
    <w:p w14:paraId="08942CA7" w14:textId="77777777" w:rsidR="009C3540" w:rsidRPr="009C3540" w:rsidRDefault="009C3540" w:rsidP="005419BA">
      <w:pPr>
        <w:spacing w:after="0" w:line="240" w:lineRule="auto"/>
        <w:jc w:val="both"/>
      </w:pPr>
    </w:p>
    <w:p w14:paraId="04879B1B" w14:textId="3781B791" w:rsidR="005419BA" w:rsidRPr="009C3540" w:rsidRDefault="005419BA" w:rsidP="005419BA">
      <w:pPr>
        <w:spacing w:after="0" w:line="240" w:lineRule="auto"/>
        <w:jc w:val="both"/>
      </w:pPr>
      <w:r w:rsidRPr="009C3540">
        <w:t>Par ailleurs, la Région Normandie a répondu favorablement à la proposition de l’Agence Nationale de la Sécurité des Système</w:t>
      </w:r>
      <w:r w:rsidRPr="009C3540">
        <w:t>s</w:t>
      </w:r>
      <w:r w:rsidRPr="009C3540">
        <w:t xml:space="preserve"> d’Information (ANSSI), qui propose aux Régions de les accompagner dans la création de centres d’urgence cyber régionaux (CSIRT). Cet accompagnement prendra principalement la forme d’une subvention d’un montant d’un million d’euros pour la période 2022-2024 et d’une incubation des porteurs de projets par les équipes de l’ANSSI. </w:t>
      </w:r>
    </w:p>
    <w:p w14:paraId="066C18A9" w14:textId="77777777" w:rsidR="009C3540" w:rsidRPr="009C3540" w:rsidRDefault="009C3540" w:rsidP="005419BA">
      <w:pPr>
        <w:spacing w:after="0" w:line="240" w:lineRule="auto"/>
        <w:jc w:val="both"/>
      </w:pPr>
    </w:p>
    <w:p w14:paraId="615616D3" w14:textId="5EA94ED7" w:rsidR="005419BA" w:rsidRPr="009C3540" w:rsidRDefault="005419BA" w:rsidP="005419BA">
      <w:pPr>
        <w:spacing w:after="0" w:line="240" w:lineRule="auto"/>
        <w:jc w:val="both"/>
      </w:pPr>
      <w:r w:rsidRPr="009C3540">
        <w:t xml:space="preserve">Géré par l’Agence de Développement pour la Normandie (ADN), « Normandie Cyber » sera </w:t>
      </w:r>
      <w:proofErr w:type="gramStart"/>
      <w:r w:rsidRPr="009C3540">
        <w:t>opératio</w:t>
      </w:r>
      <w:r w:rsidR="009C3540">
        <w:t>n</w:t>
      </w:r>
      <w:r w:rsidRPr="009C3540">
        <w:t>nel</w:t>
      </w:r>
      <w:proofErr w:type="gramEnd"/>
      <w:r w:rsidRPr="009C3540">
        <w:t xml:space="preserve"> en avril. Ce centre d’urgence proposera aux PME, ETI et collectivités de taille intermédiaire (&gt; 5 000 habitants), une réponse de proximité adaptée en cas d’incident, via un centre d’appel téléphonique : assistance d’urgence personnalisée (qualification et triage de l’incident, assistance de premier niveau…), orientation vers des prestataires techniques, juridiques et conseil sur les actions immédiates à mener, accompagnement depuis la déclaration de l’incident jusqu’à la fin de la remédiation. </w:t>
      </w:r>
    </w:p>
    <w:p w14:paraId="3EB68973" w14:textId="77777777" w:rsidR="005419BA" w:rsidRPr="009C3540" w:rsidRDefault="005419BA" w:rsidP="005419BA">
      <w:pPr>
        <w:spacing w:after="0" w:line="240" w:lineRule="auto"/>
      </w:pPr>
      <w:r w:rsidRPr="009C3540">
        <w:t> </w:t>
      </w:r>
    </w:p>
    <w:p w14:paraId="7BC3D0B9" w14:textId="77777777" w:rsidR="005419BA" w:rsidRPr="009C3540" w:rsidRDefault="005419BA" w:rsidP="005419BA">
      <w:pPr>
        <w:spacing w:after="0" w:line="240" w:lineRule="auto"/>
      </w:pPr>
      <w:r w:rsidRPr="009C3540">
        <w:t xml:space="preserve">Les organismes locaux à l’origine de l’association </w:t>
      </w:r>
      <w:r w:rsidRPr="009C3540">
        <w:rPr>
          <w:b/>
          <w:bCs/>
        </w:rPr>
        <w:t>Campus Cyber Caen Normandie</w:t>
      </w:r>
      <w:r w:rsidRPr="009C3540">
        <w:t xml:space="preserve"> sont :</w:t>
      </w:r>
    </w:p>
    <w:p w14:paraId="222B4225" w14:textId="77777777" w:rsidR="005419BA" w:rsidRPr="009C3540" w:rsidRDefault="005419BA" w:rsidP="005419BA">
      <w:pPr>
        <w:numPr>
          <w:ilvl w:val="0"/>
          <w:numId w:val="4"/>
        </w:numPr>
        <w:spacing w:after="0" w:line="240" w:lineRule="auto"/>
        <w:contextualSpacing/>
        <w:jc w:val="both"/>
        <w:rPr>
          <w:rFonts w:eastAsia="Times New Roman"/>
        </w:rPr>
      </w:pPr>
      <w:r w:rsidRPr="009C3540">
        <w:rPr>
          <w:rFonts w:eastAsia="Times New Roman"/>
          <w:b/>
          <w:bCs/>
        </w:rPr>
        <w:t>6cure</w:t>
      </w:r>
      <w:r w:rsidRPr="009C3540">
        <w:rPr>
          <w:rFonts w:eastAsia="Times New Roman"/>
        </w:rPr>
        <w:t xml:space="preserve">, solutions de protection </w:t>
      </w:r>
      <w:proofErr w:type="spellStart"/>
      <w:r w:rsidRPr="009C3540">
        <w:rPr>
          <w:rFonts w:eastAsia="Times New Roman"/>
        </w:rPr>
        <w:t>Anti-DDOS</w:t>
      </w:r>
      <w:proofErr w:type="spellEnd"/>
      <w:r w:rsidRPr="009C3540">
        <w:rPr>
          <w:rFonts w:eastAsia="Times New Roman"/>
        </w:rPr>
        <w:t xml:space="preserve"> et de sécurisation DNS</w:t>
      </w:r>
    </w:p>
    <w:p w14:paraId="70953F82" w14:textId="77777777" w:rsidR="005419BA" w:rsidRPr="009C3540" w:rsidRDefault="005419BA" w:rsidP="005419BA">
      <w:pPr>
        <w:numPr>
          <w:ilvl w:val="0"/>
          <w:numId w:val="4"/>
        </w:numPr>
        <w:spacing w:after="0" w:line="240" w:lineRule="auto"/>
        <w:contextualSpacing/>
        <w:jc w:val="both"/>
        <w:rPr>
          <w:rFonts w:eastAsia="Times New Roman"/>
        </w:rPr>
      </w:pPr>
      <w:r w:rsidRPr="009C3540">
        <w:rPr>
          <w:rFonts w:eastAsia="Times New Roman"/>
          <w:b/>
          <w:bCs/>
        </w:rPr>
        <w:lastRenderedPageBreak/>
        <w:t>ECORP SAS (/e/OS),</w:t>
      </w:r>
      <w:r w:rsidRPr="009C3540">
        <w:rPr>
          <w:rFonts w:eastAsia="Times New Roman"/>
        </w:rPr>
        <w:t xml:space="preserve"> système d’exploitation libre et respectueux des données personnelles pour smartphones</w:t>
      </w:r>
    </w:p>
    <w:p w14:paraId="28B255AA" w14:textId="77777777" w:rsidR="005419BA" w:rsidRPr="009C3540" w:rsidRDefault="005419BA" w:rsidP="005419BA">
      <w:pPr>
        <w:numPr>
          <w:ilvl w:val="0"/>
          <w:numId w:val="4"/>
        </w:numPr>
        <w:spacing w:after="0" w:line="240" w:lineRule="auto"/>
        <w:contextualSpacing/>
        <w:jc w:val="both"/>
        <w:rPr>
          <w:rFonts w:eastAsia="Times New Roman"/>
        </w:rPr>
      </w:pPr>
      <w:proofErr w:type="spellStart"/>
      <w:r w:rsidRPr="009C3540">
        <w:rPr>
          <w:rFonts w:eastAsia="Times New Roman"/>
          <w:b/>
          <w:bCs/>
        </w:rPr>
        <w:t>Elitt</w:t>
      </w:r>
      <w:proofErr w:type="spellEnd"/>
      <w:r w:rsidRPr="009C3540">
        <w:rPr>
          <w:rFonts w:eastAsia="Times New Roman"/>
        </w:rPr>
        <w:t>, laboratoire spécialisé dans les transactions électroniques sécurisées, filiale di groupement Carte Bancaire</w:t>
      </w:r>
    </w:p>
    <w:p w14:paraId="5C8D22EA" w14:textId="77777777" w:rsidR="005419BA" w:rsidRPr="009C3540" w:rsidRDefault="005419BA" w:rsidP="005419BA">
      <w:pPr>
        <w:numPr>
          <w:ilvl w:val="0"/>
          <w:numId w:val="4"/>
        </w:numPr>
        <w:spacing w:after="0" w:line="240" w:lineRule="auto"/>
        <w:contextualSpacing/>
        <w:jc w:val="both"/>
        <w:rPr>
          <w:rFonts w:eastAsia="Times New Roman"/>
        </w:rPr>
      </w:pPr>
      <w:r w:rsidRPr="009C3540">
        <w:rPr>
          <w:rFonts w:eastAsia="Times New Roman"/>
          <w:b/>
          <w:bCs/>
        </w:rPr>
        <w:t>FIME</w:t>
      </w:r>
      <w:r w:rsidRPr="009C3540">
        <w:rPr>
          <w:rFonts w:eastAsia="Times New Roman"/>
        </w:rPr>
        <w:t>, laboratoire accompagnant ses clients dans la création et le lancement de solutions de paiement sécurisées</w:t>
      </w:r>
    </w:p>
    <w:p w14:paraId="2D8141C7" w14:textId="77777777" w:rsidR="005419BA" w:rsidRPr="009C3540" w:rsidRDefault="005419BA" w:rsidP="005419BA">
      <w:pPr>
        <w:numPr>
          <w:ilvl w:val="0"/>
          <w:numId w:val="4"/>
        </w:numPr>
        <w:spacing w:after="0" w:line="240" w:lineRule="auto"/>
        <w:contextualSpacing/>
        <w:jc w:val="both"/>
        <w:rPr>
          <w:rFonts w:eastAsia="Times New Roman"/>
        </w:rPr>
      </w:pPr>
      <w:r w:rsidRPr="009C3540">
        <w:rPr>
          <w:rFonts w:eastAsia="Times New Roman"/>
          <w:b/>
          <w:bCs/>
        </w:rPr>
        <w:t xml:space="preserve">Le </w:t>
      </w:r>
      <w:proofErr w:type="spellStart"/>
      <w:r w:rsidRPr="009C3540">
        <w:rPr>
          <w:rFonts w:eastAsia="Times New Roman"/>
          <w:b/>
          <w:bCs/>
        </w:rPr>
        <w:t>Greyc</w:t>
      </w:r>
      <w:proofErr w:type="spellEnd"/>
      <w:r w:rsidRPr="009C3540">
        <w:rPr>
          <w:rFonts w:eastAsia="Times New Roman"/>
        </w:rPr>
        <w:t>, Groupe de Recherche en informatique, image, automatique et instrumentation (UMR CNRS/UNICAEN/ENSICAEN)</w:t>
      </w:r>
    </w:p>
    <w:p w14:paraId="52C52FCE" w14:textId="77777777" w:rsidR="005419BA" w:rsidRPr="009C3540" w:rsidRDefault="005419BA" w:rsidP="005419BA">
      <w:pPr>
        <w:numPr>
          <w:ilvl w:val="0"/>
          <w:numId w:val="4"/>
        </w:numPr>
        <w:spacing w:after="0" w:line="240" w:lineRule="auto"/>
        <w:contextualSpacing/>
        <w:jc w:val="both"/>
        <w:rPr>
          <w:rFonts w:eastAsia="Times New Roman"/>
        </w:rPr>
      </w:pPr>
      <w:r w:rsidRPr="009C3540">
        <w:rPr>
          <w:rFonts w:eastAsia="Times New Roman"/>
          <w:b/>
          <w:bCs/>
        </w:rPr>
        <w:t>IDETHIC</w:t>
      </w:r>
      <w:r w:rsidRPr="009C3540">
        <w:rPr>
          <w:rFonts w:eastAsia="Times New Roman"/>
        </w:rPr>
        <w:t>, startup spécialisée en identité numérique</w:t>
      </w:r>
    </w:p>
    <w:p w14:paraId="71C7DABC" w14:textId="77777777" w:rsidR="005419BA" w:rsidRPr="009C3540" w:rsidRDefault="005419BA" w:rsidP="005419BA">
      <w:pPr>
        <w:numPr>
          <w:ilvl w:val="0"/>
          <w:numId w:val="4"/>
        </w:numPr>
        <w:spacing w:after="0" w:line="240" w:lineRule="auto"/>
        <w:contextualSpacing/>
        <w:jc w:val="both"/>
        <w:rPr>
          <w:rFonts w:eastAsia="Times New Roman"/>
        </w:rPr>
      </w:pPr>
      <w:r w:rsidRPr="009C3540">
        <w:rPr>
          <w:rFonts w:eastAsia="Times New Roman"/>
          <w:b/>
          <w:bCs/>
        </w:rPr>
        <w:t>Normandie Incubation</w:t>
      </w:r>
      <w:r w:rsidRPr="009C3540">
        <w:rPr>
          <w:rFonts w:eastAsia="Times New Roman"/>
        </w:rPr>
        <w:t>, incubateur régional</w:t>
      </w:r>
    </w:p>
    <w:p w14:paraId="1B1F4387" w14:textId="77777777" w:rsidR="005419BA" w:rsidRPr="009C3540" w:rsidRDefault="005419BA" w:rsidP="005419BA">
      <w:pPr>
        <w:numPr>
          <w:ilvl w:val="0"/>
          <w:numId w:val="4"/>
        </w:numPr>
        <w:spacing w:after="0" w:line="240" w:lineRule="auto"/>
        <w:contextualSpacing/>
        <w:jc w:val="both"/>
        <w:rPr>
          <w:rFonts w:eastAsia="Times New Roman"/>
        </w:rPr>
      </w:pPr>
      <w:r w:rsidRPr="009C3540">
        <w:rPr>
          <w:rFonts w:eastAsia="Times New Roman"/>
          <w:b/>
          <w:bCs/>
        </w:rPr>
        <w:t xml:space="preserve">NXP </w:t>
      </w:r>
      <w:proofErr w:type="spellStart"/>
      <w:r w:rsidRPr="009C3540">
        <w:rPr>
          <w:rFonts w:eastAsia="Times New Roman"/>
          <w:b/>
          <w:bCs/>
        </w:rPr>
        <w:t>Semiconductors</w:t>
      </w:r>
      <w:proofErr w:type="spellEnd"/>
      <w:r w:rsidRPr="009C3540">
        <w:rPr>
          <w:rFonts w:eastAsia="Times New Roman"/>
        </w:rPr>
        <w:t>, organisme qui développe des solutions permettant aux appareils électroniques de comprendre leur environnement et de se connecter en toute sécurité avec d’autres solutions ou réseaux</w:t>
      </w:r>
    </w:p>
    <w:p w14:paraId="196E54CF" w14:textId="77777777" w:rsidR="005419BA" w:rsidRPr="009C3540" w:rsidRDefault="005419BA" w:rsidP="005419BA">
      <w:pPr>
        <w:numPr>
          <w:ilvl w:val="0"/>
          <w:numId w:val="4"/>
        </w:numPr>
        <w:spacing w:after="0" w:line="240" w:lineRule="auto"/>
        <w:contextualSpacing/>
        <w:jc w:val="both"/>
        <w:rPr>
          <w:rFonts w:eastAsia="Times New Roman"/>
        </w:rPr>
      </w:pPr>
      <w:proofErr w:type="spellStart"/>
      <w:r w:rsidRPr="009C3540">
        <w:rPr>
          <w:rFonts w:eastAsia="Times New Roman"/>
          <w:b/>
          <w:bCs/>
        </w:rPr>
        <w:t>Ob’Do</w:t>
      </w:r>
      <w:proofErr w:type="spellEnd"/>
      <w:r w:rsidRPr="009C3540">
        <w:rPr>
          <w:rFonts w:eastAsia="Times New Roman"/>
        </w:rPr>
        <w:t>, bureau d’études spécialisé dans le développement d’objets connectés</w:t>
      </w:r>
    </w:p>
    <w:p w14:paraId="38B8369B" w14:textId="77777777" w:rsidR="005419BA" w:rsidRPr="009C3540" w:rsidRDefault="005419BA" w:rsidP="005419BA">
      <w:pPr>
        <w:numPr>
          <w:ilvl w:val="0"/>
          <w:numId w:val="4"/>
        </w:numPr>
        <w:spacing w:after="0" w:line="240" w:lineRule="auto"/>
        <w:contextualSpacing/>
        <w:jc w:val="both"/>
        <w:rPr>
          <w:rFonts w:eastAsia="Times New Roman"/>
        </w:rPr>
      </w:pPr>
      <w:r w:rsidRPr="009C3540">
        <w:rPr>
          <w:rFonts w:eastAsia="Times New Roman"/>
          <w:b/>
          <w:bCs/>
        </w:rPr>
        <w:t>Pôle TES</w:t>
      </w:r>
      <w:r w:rsidRPr="009C3540">
        <w:rPr>
          <w:rFonts w:eastAsia="Times New Roman"/>
        </w:rPr>
        <w:t>, pôle de compétitivité</w:t>
      </w:r>
    </w:p>
    <w:p w14:paraId="0E13B500" w14:textId="77777777" w:rsidR="005419BA" w:rsidRPr="009C3540" w:rsidRDefault="005419BA" w:rsidP="005419BA">
      <w:pPr>
        <w:numPr>
          <w:ilvl w:val="0"/>
          <w:numId w:val="4"/>
        </w:numPr>
        <w:spacing w:after="0" w:line="240" w:lineRule="auto"/>
        <w:contextualSpacing/>
        <w:jc w:val="both"/>
        <w:rPr>
          <w:rFonts w:eastAsia="Times New Roman"/>
        </w:rPr>
      </w:pPr>
      <w:r w:rsidRPr="009C3540">
        <w:rPr>
          <w:rFonts w:eastAsia="Times New Roman"/>
          <w:b/>
          <w:bCs/>
        </w:rPr>
        <w:t xml:space="preserve">United </w:t>
      </w:r>
      <w:proofErr w:type="spellStart"/>
      <w:r w:rsidRPr="009C3540">
        <w:rPr>
          <w:rFonts w:eastAsia="Times New Roman"/>
          <w:b/>
          <w:bCs/>
        </w:rPr>
        <w:t>Biometrics</w:t>
      </w:r>
      <w:proofErr w:type="spellEnd"/>
      <w:r w:rsidRPr="009C3540">
        <w:rPr>
          <w:rFonts w:eastAsia="Times New Roman"/>
        </w:rPr>
        <w:t>, développe une plateforme d’authentification multi-facteur (Possession, Connaissance et Multi-biométrique).</w:t>
      </w:r>
    </w:p>
    <w:p w14:paraId="25136890" w14:textId="77777777" w:rsidR="005419BA" w:rsidRPr="009C3540" w:rsidRDefault="005419BA" w:rsidP="005419BA">
      <w:pPr>
        <w:spacing w:after="0" w:line="240" w:lineRule="auto"/>
      </w:pPr>
      <w:r w:rsidRPr="009C3540">
        <w:t> </w:t>
      </w:r>
    </w:p>
    <w:p w14:paraId="749F328D" w14:textId="77777777" w:rsidR="005419BA" w:rsidRPr="009C3540" w:rsidRDefault="005419BA" w:rsidP="005419BA">
      <w:pPr>
        <w:spacing w:after="0" w:line="240" w:lineRule="auto"/>
        <w:jc w:val="both"/>
      </w:pPr>
      <w:r w:rsidRPr="009C3540">
        <w:t xml:space="preserve">La Région Normandie présente tous les atouts d’une filière économique forte en cybersécurité. L’expertise de ses laboratoires de recherche (Le GREYC, Orange </w:t>
      </w:r>
      <w:proofErr w:type="spellStart"/>
      <w:r w:rsidRPr="009C3540">
        <w:t>Labs</w:t>
      </w:r>
      <w:proofErr w:type="spellEnd"/>
      <w:r w:rsidRPr="009C3540">
        <w:t xml:space="preserve">, FIME, </w:t>
      </w:r>
      <w:proofErr w:type="spellStart"/>
      <w:r w:rsidRPr="009C3540">
        <w:t>Elitt</w:t>
      </w:r>
      <w:proofErr w:type="spellEnd"/>
      <w:r w:rsidRPr="009C3540">
        <w:t xml:space="preserve">) de ses organismes de formation (ENSICAEN, CESI, ESIGELEC, les Universités Normandes…) et de ses entreprises (du grand groupe à la startups) fait de ce territoire une véritable force en vue d’une candidature régionale pour accueillir à Caen Normandie le Campus Cyber territorial. </w:t>
      </w:r>
    </w:p>
    <w:p w14:paraId="524426C3" w14:textId="5D2BA62D" w:rsidR="005419BA" w:rsidRPr="009C3540" w:rsidRDefault="005419BA" w:rsidP="005419BA">
      <w:pPr>
        <w:spacing w:after="0" w:line="240" w:lineRule="auto"/>
        <w:jc w:val="both"/>
      </w:pPr>
    </w:p>
    <w:p w14:paraId="6E92E1FD" w14:textId="77777777" w:rsidR="009C3540" w:rsidRPr="009C3540" w:rsidRDefault="009C3540" w:rsidP="005419BA">
      <w:pPr>
        <w:spacing w:after="0" w:line="240" w:lineRule="auto"/>
        <w:jc w:val="both"/>
      </w:pPr>
    </w:p>
    <w:p w14:paraId="6EB601E4" w14:textId="13F4985B" w:rsidR="005419BA" w:rsidRPr="009C3540" w:rsidRDefault="005419BA" w:rsidP="005419BA">
      <w:pPr>
        <w:spacing w:after="0" w:line="240" w:lineRule="auto"/>
        <w:jc w:val="both"/>
        <w:rPr>
          <w:b/>
          <w:bCs/>
        </w:rPr>
      </w:pPr>
      <w:r w:rsidRPr="009C3540">
        <w:rPr>
          <w:b/>
          <w:bCs/>
          <w:u w:val="single"/>
        </w:rPr>
        <w:t xml:space="preserve">La cybermenace en chiffres </w:t>
      </w:r>
      <w:r w:rsidRPr="009C3540">
        <w:rPr>
          <w:b/>
          <w:bCs/>
        </w:rPr>
        <w:t xml:space="preserve">: </w:t>
      </w:r>
    </w:p>
    <w:p w14:paraId="29858ED6" w14:textId="77777777" w:rsidR="009C3540" w:rsidRPr="009C3540" w:rsidRDefault="009C3540" w:rsidP="005419BA">
      <w:pPr>
        <w:spacing w:after="0" w:line="240" w:lineRule="auto"/>
        <w:jc w:val="both"/>
        <w:rPr>
          <w:b/>
          <w:bCs/>
        </w:rPr>
      </w:pPr>
    </w:p>
    <w:p w14:paraId="5773785F" w14:textId="77777777" w:rsidR="005419BA" w:rsidRPr="009C3540" w:rsidRDefault="005419BA" w:rsidP="005419BA">
      <w:pPr>
        <w:spacing w:after="0" w:line="240" w:lineRule="auto"/>
        <w:jc w:val="both"/>
      </w:pPr>
      <w:r w:rsidRPr="009C3540">
        <w:rPr>
          <w:b/>
          <w:bCs/>
        </w:rPr>
        <w:t xml:space="preserve">Les grandes tendances de la menace en 2021 (source </w:t>
      </w:r>
      <w:proofErr w:type="spellStart"/>
      <w:proofErr w:type="gramStart"/>
      <w:r w:rsidRPr="009C3540">
        <w:rPr>
          <w:b/>
          <w:bCs/>
        </w:rPr>
        <w:t>cybermalveillance.gouv</w:t>
      </w:r>
      <w:proofErr w:type="spellEnd"/>
      <w:proofErr w:type="gramEnd"/>
      <w:r w:rsidRPr="009C3540">
        <w:rPr>
          <w:b/>
          <w:bCs/>
        </w:rPr>
        <w:t xml:space="preserve">) : </w:t>
      </w:r>
    </w:p>
    <w:p w14:paraId="03DDA7C3" w14:textId="77777777" w:rsidR="005419BA" w:rsidRPr="009C3540" w:rsidRDefault="005419BA" w:rsidP="005419BA">
      <w:pPr>
        <w:spacing w:after="0" w:line="240" w:lineRule="auto"/>
        <w:jc w:val="both"/>
      </w:pPr>
      <w:r w:rsidRPr="009C3540">
        <w:t xml:space="preserve">- L’hameçonnage (phishing) est le principal vecteur de </w:t>
      </w:r>
      <w:proofErr w:type="spellStart"/>
      <w:r w:rsidRPr="009C3540">
        <w:t>cybermalveillance</w:t>
      </w:r>
      <w:proofErr w:type="spellEnd"/>
      <w:r w:rsidRPr="009C3540">
        <w:t xml:space="preserve"> avec 1 ,3 million de recherches d’information et d’assistance sur </w:t>
      </w:r>
      <w:proofErr w:type="spellStart"/>
      <w:proofErr w:type="gramStart"/>
      <w:r w:rsidRPr="009C3540">
        <w:t>cybermalveillance.gouv</w:t>
      </w:r>
      <w:proofErr w:type="spellEnd"/>
      <w:proofErr w:type="gramEnd"/>
    </w:p>
    <w:p w14:paraId="69798FBF" w14:textId="77777777" w:rsidR="005419BA" w:rsidRPr="009C3540" w:rsidRDefault="005419BA" w:rsidP="005419BA">
      <w:pPr>
        <w:spacing w:after="0" w:line="240" w:lineRule="auto"/>
        <w:jc w:val="both"/>
      </w:pPr>
      <w:r w:rsidRPr="009C3540">
        <w:t>- Le piratage de compte : les messageries de plus en plus ciblées : + 139 % de piratage de compte en 2021</w:t>
      </w:r>
    </w:p>
    <w:p w14:paraId="778C7D28" w14:textId="77777777" w:rsidR="005419BA" w:rsidRPr="009C3540" w:rsidRDefault="005419BA" w:rsidP="005419BA">
      <w:pPr>
        <w:spacing w:after="0" w:line="240" w:lineRule="auto"/>
        <w:jc w:val="both"/>
      </w:pPr>
      <w:r w:rsidRPr="009C3540">
        <w:t>- Les rançongiciels (ransomware) : 1</w:t>
      </w:r>
      <w:r w:rsidRPr="009C3540">
        <w:rPr>
          <w:vertAlign w:val="superscript"/>
        </w:rPr>
        <w:t>ère</w:t>
      </w:r>
      <w:r w:rsidRPr="009C3540">
        <w:t xml:space="preserve"> menace pour les professionnels, en hausse de plus de 95%</w:t>
      </w:r>
    </w:p>
    <w:p w14:paraId="63AA6183" w14:textId="77777777" w:rsidR="005419BA" w:rsidRPr="009C3540" w:rsidRDefault="005419BA" w:rsidP="005419BA">
      <w:pPr>
        <w:spacing w:after="0" w:line="240" w:lineRule="auto"/>
        <w:jc w:val="both"/>
      </w:pPr>
      <w:r w:rsidRPr="009C3540">
        <w:t> </w:t>
      </w:r>
    </w:p>
    <w:p w14:paraId="1A6BD3B5" w14:textId="77777777" w:rsidR="005419BA" w:rsidRPr="009C3540" w:rsidRDefault="005419BA" w:rsidP="005419BA">
      <w:pPr>
        <w:spacing w:after="0" w:line="240" w:lineRule="auto"/>
        <w:contextualSpacing/>
        <w:jc w:val="both"/>
      </w:pPr>
      <w:r w:rsidRPr="009C3540">
        <w:t>Le nombre d’intrusions avérées dans des systèmes d’information signalées à l’ANSSI a augmenté de 37% entre 2020 et 2021 ; les TPE, PME et ETI représentent 34% des victimes en 2021 (+53% par rapport à 2020) et sont suivies par les collectivités (19%) et les entreprises stratégiques (10%) (Panorama de la menace informatique ANSSI, mars 2022)</w:t>
      </w:r>
    </w:p>
    <w:p w14:paraId="35A5768F" w14:textId="77777777" w:rsidR="005419BA" w:rsidRPr="009C3540" w:rsidRDefault="005419BA" w:rsidP="005419BA">
      <w:pPr>
        <w:spacing w:after="0" w:line="240" w:lineRule="auto"/>
        <w:jc w:val="both"/>
      </w:pPr>
      <w:r w:rsidRPr="009C3540">
        <w:t> </w:t>
      </w:r>
    </w:p>
    <w:p w14:paraId="27C22172" w14:textId="77777777" w:rsidR="005419BA" w:rsidRPr="009C3540" w:rsidRDefault="005419BA" w:rsidP="005419BA">
      <w:pPr>
        <w:spacing w:after="0" w:line="240" w:lineRule="auto"/>
        <w:jc w:val="both"/>
      </w:pPr>
      <w:r w:rsidRPr="009C3540">
        <w:t xml:space="preserve">Selon un sondage </w:t>
      </w:r>
      <w:proofErr w:type="spellStart"/>
      <w:r w:rsidRPr="009C3540">
        <w:t>OpinionWay</w:t>
      </w:r>
      <w:proofErr w:type="spellEnd"/>
      <w:r w:rsidRPr="009C3540">
        <w:t xml:space="preserve"> pour le Club des experts de la sécurité de l'information et du numérique (CESIN - 17 janvier 2022) sur l’année 2021 :</w:t>
      </w:r>
    </w:p>
    <w:p w14:paraId="5D89CF8E" w14:textId="77777777" w:rsidR="005419BA" w:rsidRPr="009C3540" w:rsidRDefault="005419BA" w:rsidP="005419BA">
      <w:pPr>
        <w:numPr>
          <w:ilvl w:val="1"/>
          <w:numId w:val="5"/>
        </w:numPr>
        <w:spacing w:after="0" w:line="240" w:lineRule="auto"/>
        <w:contextualSpacing/>
        <w:jc w:val="both"/>
        <w:rPr>
          <w:rFonts w:eastAsia="Times New Roman"/>
        </w:rPr>
      </w:pPr>
      <w:r w:rsidRPr="009C3540">
        <w:rPr>
          <w:rFonts w:eastAsia="Times New Roman"/>
        </w:rPr>
        <w:t>54% des entreprises déclare avoir subi entre une et trois cyberattaques,</w:t>
      </w:r>
    </w:p>
    <w:p w14:paraId="0AEC5CD2" w14:textId="77777777" w:rsidR="005419BA" w:rsidRPr="009C3540" w:rsidRDefault="005419BA" w:rsidP="005419BA">
      <w:pPr>
        <w:numPr>
          <w:ilvl w:val="1"/>
          <w:numId w:val="5"/>
        </w:numPr>
        <w:spacing w:after="0" w:line="240" w:lineRule="auto"/>
        <w:contextualSpacing/>
        <w:jc w:val="both"/>
        <w:rPr>
          <w:rFonts w:eastAsia="Times New Roman"/>
        </w:rPr>
      </w:pPr>
      <w:r w:rsidRPr="009C3540">
        <w:rPr>
          <w:rFonts w:eastAsia="Times New Roman"/>
        </w:rPr>
        <w:t>Les ransomwares ont touché une entreprise sur 5.</w:t>
      </w:r>
    </w:p>
    <w:p w14:paraId="28B19CC9" w14:textId="77777777" w:rsidR="005419BA" w:rsidRPr="009C3540" w:rsidRDefault="005419BA" w:rsidP="005419BA">
      <w:pPr>
        <w:numPr>
          <w:ilvl w:val="1"/>
          <w:numId w:val="5"/>
        </w:numPr>
        <w:spacing w:after="0" w:line="240" w:lineRule="auto"/>
        <w:contextualSpacing/>
        <w:jc w:val="both"/>
        <w:rPr>
          <w:rFonts w:eastAsia="Times New Roman"/>
        </w:rPr>
      </w:pPr>
      <w:r w:rsidRPr="009C3540">
        <w:rPr>
          <w:rFonts w:eastAsia="Times New Roman"/>
        </w:rPr>
        <w:t xml:space="preserve">Les principaux vecteurs d'attaques sont le phishing (73 %) et l'exploitation des failles (53%), avec pour principale conséquence, l'usurpation d'identité (32 %). </w:t>
      </w:r>
    </w:p>
    <w:p w14:paraId="40D8A336" w14:textId="77777777" w:rsidR="005419BA" w:rsidRPr="009C3540" w:rsidRDefault="005419BA" w:rsidP="005419BA">
      <w:pPr>
        <w:numPr>
          <w:ilvl w:val="1"/>
          <w:numId w:val="5"/>
        </w:numPr>
        <w:spacing w:after="0" w:line="240" w:lineRule="auto"/>
        <w:contextualSpacing/>
        <w:jc w:val="both"/>
        <w:rPr>
          <w:rFonts w:eastAsia="Times New Roman"/>
        </w:rPr>
      </w:pPr>
      <w:r w:rsidRPr="009C3540">
        <w:rPr>
          <w:rFonts w:eastAsia="Times New Roman"/>
        </w:rPr>
        <w:t>60 % des entreprises concernées ont constaté un impact sur leur business dont la perturbation de leur production (21%) ou la compromission d'information (14 %). 33 % ont subi un préjudice financier supérieur à 10 000 euros.</w:t>
      </w:r>
    </w:p>
    <w:p w14:paraId="51FA2070" w14:textId="77777777" w:rsidR="005419BA" w:rsidRPr="009C3540" w:rsidRDefault="005419BA" w:rsidP="005419BA">
      <w:pPr>
        <w:pStyle w:val="Paragraphedeliste"/>
        <w:spacing w:after="0" w:line="240" w:lineRule="auto"/>
        <w:jc w:val="both"/>
      </w:pPr>
      <w:r w:rsidRPr="009C3540">
        <w:rPr>
          <w:rFonts w:ascii="Arial" w:hAnsi="Arial" w:cs="Arial"/>
        </w:rPr>
        <w:t> </w:t>
      </w:r>
    </w:p>
    <w:p w14:paraId="03BB5005" w14:textId="77777777" w:rsidR="005419BA" w:rsidRPr="009C3540" w:rsidRDefault="005419BA" w:rsidP="005419BA">
      <w:pPr>
        <w:spacing w:after="0" w:line="240" w:lineRule="auto"/>
        <w:jc w:val="both"/>
      </w:pPr>
      <w:r w:rsidRPr="009C3540">
        <w:t>En Normandie, sur un panel de 2 000 entreprises interrogées par l'Observatoire des transformations numériques, piloté par la Région, 23,4 % ont déjà été confrontées à un piratage ou à un risque de cyberattaque.</w:t>
      </w:r>
    </w:p>
    <w:p w14:paraId="43F96F70" w14:textId="77777777" w:rsidR="005419BA" w:rsidRPr="009C3540" w:rsidRDefault="005419BA" w:rsidP="005419BA">
      <w:pPr>
        <w:spacing w:after="0" w:line="240" w:lineRule="auto"/>
        <w:jc w:val="both"/>
      </w:pPr>
      <w:r w:rsidRPr="009C3540">
        <w:t> </w:t>
      </w:r>
    </w:p>
    <w:p w14:paraId="5334E830" w14:textId="77777777" w:rsidR="005419BA" w:rsidRPr="009C3540" w:rsidRDefault="005419BA" w:rsidP="005419BA">
      <w:pPr>
        <w:pStyle w:val="NormalWeb"/>
        <w:spacing w:before="0" w:beforeAutospacing="0" w:after="0" w:afterAutospacing="0"/>
        <w:jc w:val="both"/>
        <w:rPr>
          <w:b/>
        </w:rPr>
      </w:pPr>
      <w:r w:rsidRPr="009C3540">
        <w:rPr>
          <w:rFonts w:ascii="Arial" w:hAnsi="Arial" w:cs="Arial"/>
          <w:b/>
          <w:sz w:val="22"/>
          <w:szCs w:val="22"/>
        </w:rPr>
        <w:t> </w:t>
      </w:r>
    </w:p>
    <w:p w14:paraId="2FBC64BC" w14:textId="77777777" w:rsidR="005419BA" w:rsidRPr="009C3540" w:rsidRDefault="005419BA" w:rsidP="005419BA">
      <w:pPr>
        <w:spacing w:after="0" w:line="240" w:lineRule="auto"/>
        <w:rPr>
          <w:b/>
        </w:rPr>
      </w:pPr>
      <w:r w:rsidRPr="009C3540">
        <w:rPr>
          <w:b/>
        </w:rPr>
        <w:lastRenderedPageBreak/>
        <w:t xml:space="preserve">Contacts presse : </w:t>
      </w:r>
    </w:p>
    <w:p w14:paraId="69715E54" w14:textId="77777777" w:rsidR="005419BA" w:rsidRPr="009C3540" w:rsidRDefault="005419BA" w:rsidP="005419BA">
      <w:pPr>
        <w:spacing w:after="0" w:line="240" w:lineRule="auto"/>
      </w:pPr>
      <w:r w:rsidRPr="009C3540">
        <w:t xml:space="preserve">Campus Cyber : Annabelle Jouanneau - 02 14 61 01 60 - </w:t>
      </w:r>
      <w:hyperlink r:id="rId12" w:history="1">
        <w:r w:rsidRPr="009C3540">
          <w:rPr>
            <w:rStyle w:val="Lienhypertexte"/>
            <w:color w:val="auto"/>
          </w:rPr>
          <w:t>annabelle.jouanneau@caendev.fr</w:t>
        </w:r>
      </w:hyperlink>
      <w:r w:rsidRPr="009C3540">
        <w:t xml:space="preserve"> </w:t>
      </w:r>
    </w:p>
    <w:p w14:paraId="3D3CBB25" w14:textId="77777777" w:rsidR="005419BA" w:rsidRPr="009C3540" w:rsidRDefault="005419BA" w:rsidP="005419BA">
      <w:pPr>
        <w:spacing w:after="0" w:line="240" w:lineRule="auto"/>
      </w:pPr>
      <w:r w:rsidRPr="009C3540">
        <w:t xml:space="preserve">Caen la mer : Daniela </w:t>
      </w:r>
      <w:proofErr w:type="spellStart"/>
      <w:r w:rsidRPr="009C3540">
        <w:t>Terzi</w:t>
      </w:r>
      <w:proofErr w:type="spellEnd"/>
      <w:r w:rsidRPr="009C3540">
        <w:t xml:space="preserve"> - 07 84 51 03 97- </w:t>
      </w:r>
      <w:hyperlink r:id="rId13" w:history="1">
        <w:r w:rsidRPr="009C3540">
          <w:rPr>
            <w:rStyle w:val="Lienhypertexte"/>
            <w:color w:val="auto"/>
          </w:rPr>
          <w:t>d.terzi@caenlamer.fr</w:t>
        </w:r>
      </w:hyperlink>
    </w:p>
    <w:p w14:paraId="5DE4533B" w14:textId="77777777" w:rsidR="005419BA" w:rsidRPr="009C3540" w:rsidRDefault="005419BA" w:rsidP="005419BA">
      <w:pPr>
        <w:spacing w:after="0" w:line="240" w:lineRule="auto"/>
      </w:pPr>
      <w:r w:rsidRPr="009C3540">
        <w:t xml:space="preserve">Région Normandie : Emmanuelle </w:t>
      </w:r>
      <w:proofErr w:type="spellStart"/>
      <w:r w:rsidRPr="009C3540">
        <w:t>Tirilly</w:t>
      </w:r>
      <w:proofErr w:type="spellEnd"/>
      <w:r w:rsidRPr="009C3540">
        <w:t xml:space="preserve"> – 06 13 99 87 28 – </w:t>
      </w:r>
      <w:hyperlink r:id="rId14" w:history="1">
        <w:r w:rsidRPr="009C3540">
          <w:rPr>
            <w:rStyle w:val="Lienhypertexte"/>
            <w:color w:val="auto"/>
          </w:rPr>
          <w:t>emmanuelle.tirilly@normandie.fr</w:t>
        </w:r>
      </w:hyperlink>
    </w:p>
    <w:p w14:paraId="1B59E1A4" w14:textId="77777777" w:rsidR="005419BA" w:rsidRPr="009C3540" w:rsidRDefault="005419BA" w:rsidP="005419BA">
      <w:pPr>
        <w:spacing w:after="0" w:line="240" w:lineRule="auto"/>
      </w:pPr>
      <w:r w:rsidRPr="009C3540">
        <w:t> </w:t>
      </w:r>
    </w:p>
    <w:p w14:paraId="4256D6FF" w14:textId="77777777" w:rsidR="005419BA" w:rsidRPr="009C3540" w:rsidRDefault="005419BA" w:rsidP="005419BA">
      <w:pPr>
        <w:spacing w:after="0" w:line="240" w:lineRule="auto"/>
        <w:jc w:val="both"/>
      </w:pPr>
    </w:p>
    <w:bookmarkEnd w:id="0"/>
    <w:bookmarkEnd w:id="1"/>
    <w:p w14:paraId="3E10B52B" w14:textId="4722CD03" w:rsidR="00D96A8A" w:rsidRPr="009C3540" w:rsidRDefault="00D96A8A" w:rsidP="005419BA">
      <w:pPr>
        <w:spacing w:after="0" w:line="240" w:lineRule="auto"/>
      </w:pPr>
    </w:p>
    <w:sectPr w:rsidR="00D96A8A" w:rsidRPr="009C3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1A8B"/>
    <w:multiLevelType w:val="hybridMultilevel"/>
    <w:tmpl w:val="D4E884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AC43E57"/>
    <w:multiLevelType w:val="multilevel"/>
    <w:tmpl w:val="9C62C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D114A3"/>
    <w:multiLevelType w:val="multilevel"/>
    <w:tmpl w:val="BCC42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371005"/>
    <w:multiLevelType w:val="hybridMultilevel"/>
    <w:tmpl w:val="39AA7E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88"/>
    <w:rsid w:val="00021D40"/>
    <w:rsid w:val="00026888"/>
    <w:rsid w:val="001D4FCE"/>
    <w:rsid w:val="00344495"/>
    <w:rsid w:val="004A3A09"/>
    <w:rsid w:val="004E1A70"/>
    <w:rsid w:val="005419BA"/>
    <w:rsid w:val="005564EE"/>
    <w:rsid w:val="0060048A"/>
    <w:rsid w:val="0061485F"/>
    <w:rsid w:val="00644E93"/>
    <w:rsid w:val="006D7F2C"/>
    <w:rsid w:val="007A3B06"/>
    <w:rsid w:val="00965EB3"/>
    <w:rsid w:val="009B7334"/>
    <w:rsid w:val="009C3540"/>
    <w:rsid w:val="00A04CF9"/>
    <w:rsid w:val="00A45F74"/>
    <w:rsid w:val="00A54B8F"/>
    <w:rsid w:val="00A71EBE"/>
    <w:rsid w:val="00BA7294"/>
    <w:rsid w:val="00C05AD1"/>
    <w:rsid w:val="00D96A8A"/>
    <w:rsid w:val="00E13451"/>
    <w:rsid w:val="00E43880"/>
    <w:rsid w:val="00EA0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9B0B"/>
  <w15:chartTrackingRefBased/>
  <w15:docId w15:val="{3D3E590A-BB60-4AB2-AADB-E8914DF5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4FCE"/>
    <w:pPr>
      <w:spacing w:after="0" w:line="276" w:lineRule="auto"/>
      <w:contextualSpacing/>
      <w:jc w:val="center"/>
      <w:outlineLvl w:val="0"/>
    </w:pPr>
    <w:rPr>
      <w:rFonts w:ascii="Century Gothic" w:eastAsia="Times New Roman" w:hAnsi="Century Gothic"/>
      <w:b/>
      <w:color w:val="262A59"/>
      <w:sz w:val="36"/>
      <w:szCs w:val="36"/>
    </w:rPr>
  </w:style>
  <w:style w:type="paragraph" w:styleId="Titre2">
    <w:name w:val="heading 2"/>
    <w:basedOn w:val="Titredlibration"/>
    <w:next w:val="Normal"/>
    <w:link w:val="Titre2Car"/>
    <w:uiPriority w:val="9"/>
    <w:semiHidden/>
    <w:unhideWhenUsed/>
    <w:qFormat/>
    <w:rsid w:val="001D4FCE"/>
    <w:pPr>
      <w:outlineLvl w:val="1"/>
    </w:pPr>
    <w:rPr>
      <w:rFonts w:ascii="Century Gothic" w:eastAsia="Calibri" w:hAnsi="Century Gothic"/>
      <w:color w:val="036383"/>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A009D"/>
    <w:rPr>
      <w:color w:val="0563C1"/>
      <w:u w:val="single"/>
    </w:rPr>
  </w:style>
  <w:style w:type="paragraph" w:styleId="NormalWeb">
    <w:name w:val="Normal (Web)"/>
    <w:basedOn w:val="Normal"/>
    <w:uiPriority w:val="99"/>
    <w:unhideWhenUsed/>
    <w:rsid w:val="00EA009D"/>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basedOn w:val="Normal"/>
    <w:uiPriority w:val="99"/>
    <w:rsid w:val="00EA009D"/>
    <w:pPr>
      <w:autoSpaceDE w:val="0"/>
      <w:autoSpaceDN w:val="0"/>
      <w:spacing w:after="0" w:line="240" w:lineRule="auto"/>
    </w:pPr>
    <w:rPr>
      <w:rFonts w:ascii="Candara" w:hAnsi="Candara" w:cs="Times New Roman"/>
      <w:color w:val="000000"/>
      <w:sz w:val="24"/>
      <w:szCs w:val="24"/>
    </w:rPr>
  </w:style>
  <w:style w:type="character" w:styleId="lev">
    <w:name w:val="Strong"/>
    <w:basedOn w:val="Policepardfaut"/>
    <w:uiPriority w:val="22"/>
    <w:qFormat/>
    <w:rsid w:val="00EA009D"/>
    <w:rPr>
      <w:b/>
      <w:bCs/>
    </w:rPr>
  </w:style>
  <w:style w:type="table" w:styleId="Grilledutableau">
    <w:name w:val="Table Grid"/>
    <w:basedOn w:val="TableauNormal"/>
    <w:uiPriority w:val="39"/>
    <w:rsid w:val="0060048A"/>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0048A"/>
    <w:pPr>
      <w:ind w:left="720"/>
      <w:contextualSpacing/>
    </w:pPr>
    <w:rPr>
      <w:rFonts w:asciiTheme="minorHAnsi" w:hAnsiTheme="minorHAnsi" w:cstheme="minorBidi"/>
    </w:rPr>
  </w:style>
  <w:style w:type="character" w:customStyle="1" w:styleId="Titre1Car">
    <w:name w:val="Titre 1 Car"/>
    <w:basedOn w:val="Policepardfaut"/>
    <w:link w:val="Titre1"/>
    <w:uiPriority w:val="9"/>
    <w:rsid w:val="001D4FCE"/>
    <w:rPr>
      <w:rFonts w:ascii="Century Gothic" w:eastAsia="Times New Roman" w:hAnsi="Century Gothic"/>
      <w:b/>
      <w:color w:val="262A59"/>
      <w:sz w:val="36"/>
      <w:szCs w:val="36"/>
    </w:rPr>
  </w:style>
  <w:style w:type="character" w:customStyle="1" w:styleId="Titre2Car">
    <w:name w:val="Titre 2 Car"/>
    <w:basedOn w:val="Policepardfaut"/>
    <w:link w:val="Titre2"/>
    <w:uiPriority w:val="9"/>
    <w:semiHidden/>
    <w:rsid w:val="001D4FCE"/>
    <w:rPr>
      <w:rFonts w:ascii="Century Gothic" w:eastAsia="Calibri" w:hAnsi="Century Gothic" w:cs="Arial (W1)"/>
      <w:b/>
      <w:smallCaps/>
      <w:color w:val="036383"/>
      <w:sz w:val="24"/>
      <w:lang w:eastAsia="fr-FR"/>
    </w:rPr>
  </w:style>
  <w:style w:type="paragraph" w:styleId="Sous-titre">
    <w:name w:val="Subtitle"/>
    <w:basedOn w:val="Titre2"/>
    <w:next w:val="Normal"/>
    <w:link w:val="Sous-titreCar"/>
    <w:uiPriority w:val="11"/>
    <w:qFormat/>
    <w:rsid w:val="001D4FCE"/>
    <w:pPr>
      <w:jc w:val="center"/>
    </w:pPr>
    <w:rPr>
      <w:sz w:val="28"/>
    </w:rPr>
  </w:style>
  <w:style w:type="character" w:customStyle="1" w:styleId="Sous-titreCar">
    <w:name w:val="Sous-titre Car"/>
    <w:basedOn w:val="Policepardfaut"/>
    <w:link w:val="Sous-titre"/>
    <w:uiPriority w:val="11"/>
    <w:rsid w:val="001D4FCE"/>
    <w:rPr>
      <w:rFonts w:ascii="Century Gothic" w:eastAsia="Calibri" w:hAnsi="Century Gothic" w:cs="Arial (W1)"/>
      <w:b/>
      <w:smallCaps/>
      <w:color w:val="036383"/>
      <w:sz w:val="28"/>
      <w:lang w:eastAsia="fr-FR"/>
    </w:rPr>
  </w:style>
  <w:style w:type="paragraph" w:customStyle="1" w:styleId="Titredlibration">
    <w:name w:val="Titre délibération"/>
    <w:basedOn w:val="Normal"/>
    <w:next w:val="Normal"/>
    <w:rsid w:val="001D4FCE"/>
    <w:pPr>
      <w:tabs>
        <w:tab w:val="left" w:pos="3600"/>
      </w:tabs>
      <w:spacing w:after="0" w:line="276" w:lineRule="auto"/>
      <w:jc w:val="both"/>
    </w:pPr>
    <w:rPr>
      <w:rFonts w:eastAsia="Times New Roman" w:cs="Arial (W1)"/>
      <w:b/>
      <w:smallCaps/>
      <w:color w:val="262A59"/>
      <w:sz w:val="26"/>
      <w:lang w:eastAsia="fr-FR"/>
    </w:rPr>
  </w:style>
  <w:style w:type="character" w:styleId="Accentuationlgre">
    <w:name w:val="Subtle Emphasis"/>
    <w:uiPriority w:val="19"/>
    <w:qFormat/>
    <w:rsid w:val="001D4FCE"/>
    <w:rPr>
      <w:rFonts w:ascii="Century Gothic" w:hAnsi="Century Gothic" w:hint="default"/>
      <w:b/>
      <w:bCs w:val="0"/>
      <w:i/>
      <w:iCs w:val="0"/>
      <w:caps w:val="0"/>
      <w:smallCaps w:val="0"/>
      <w:vanish w:val="0"/>
      <w:webHidden w:val="0"/>
      <w:sz w:val="22"/>
      <w:vertAlign w:val="baseli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04004">
      <w:bodyDiv w:val="1"/>
      <w:marLeft w:val="0"/>
      <w:marRight w:val="0"/>
      <w:marTop w:val="0"/>
      <w:marBottom w:val="0"/>
      <w:divBdr>
        <w:top w:val="none" w:sz="0" w:space="0" w:color="auto"/>
        <w:left w:val="none" w:sz="0" w:space="0" w:color="auto"/>
        <w:bottom w:val="none" w:sz="0" w:space="0" w:color="auto"/>
        <w:right w:val="none" w:sz="0" w:space="0" w:color="auto"/>
      </w:divBdr>
    </w:div>
    <w:div w:id="748502008">
      <w:bodyDiv w:val="1"/>
      <w:marLeft w:val="0"/>
      <w:marRight w:val="0"/>
      <w:marTop w:val="0"/>
      <w:marBottom w:val="0"/>
      <w:divBdr>
        <w:top w:val="none" w:sz="0" w:space="0" w:color="auto"/>
        <w:left w:val="none" w:sz="0" w:space="0" w:color="auto"/>
        <w:bottom w:val="none" w:sz="0" w:space="0" w:color="auto"/>
        <w:right w:val="none" w:sz="0" w:space="0" w:color="auto"/>
      </w:divBdr>
    </w:div>
    <w:div w:id="17618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d.terzi@caenlamer.fr" TargetMode="External"/><Relationship Id="rId3" Type="http://schemas.openxmlformats.org/officeDocument/2006/relationships/settings" Target="settings.xml"/><Relationship Id="rId7" Type="http://schemas.openxmlformats.org/officeDocument/2006/relationships/image" Target="cid:image002.jpg@01D83F63.43D75F90" TargetMode="External"/><Relationship Id="rId12" Type="http://schemas.openxmlformats.org/officeDocument/2006/relationships/hyperlink" Target="mailto:annabelle.jouanneau@caendev.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image004.jpg@01D83F63.43D75F9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image003.png@01D83F63.43D75F90" TargetMode="External"/><Relationship Id="rId14"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1512</Words>
  <Characters>8316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10</cp:revision>
  <dcterms:created xsi:type="dcterms:W3CDTF">2022-03-28T14:52:00Z</dcterms:created>
  <dcterms:modified xsi:type="dcterms:W3CDTF">2022-03-31T10:10:00Z</dcterms:modified>
</cp:coreProperties>
</file>