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E556F" w14:textId="0815AD43" w:rsidR="002C6B97" w:rsidRDefault="002C6B97" w:rsidP="002C6B97">
      <w:pPr>
        <w:rPr>
          <w:noProof/>
        </w:rPr>
      </w:pPr>
      <w:bookmarkStart w:id="0" w:name="_Hlk117791548"/>
      <w:bookmarkStart w:id="1" w:name="_Hlk117860842"/>
      <w:bookmarkStart w:id="2" w:name="_Hlk118387864"/>
      <w:bookmarkStart w:id="3" w:name="_GoBack"/>
      <w:bookmarkEnd w:id="0"/>
      <w:r>
        <w:rPr>
          <w:noProof/>
        </w:rPr>
        <w:drawing>
          <wp:inline distT="0" distB="0" distL="0" distR="0" wp14:anchorId="1A3585C7" wp14:editId="555285BE">
            <wp:extent cx="5773420" cy="554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3420" cy="554990"/>
                    </a:xfrm>
                    <a:prstGeom prst="rect">
                      <a:avLst/>
                    </a:prstGeom>
                    <a:noFill/>
                  </pic:spPr>
                </pic:pic>
              </a:graphicData>
            </a:graphic>
          </wp:inline>
        </w:drawing>
      </w:r>
    </w:p>
    <w:tbl>
      <w:tblPr>
        <w:tblW w:w="9067" w:type="dxa"/>
        <w:tblCellMar>
          <w:left w:w="0" w:type="dxa"/>
          <w:right w:w="0" w:type="dxa"/>
        </w:tblCellMar>
        <w:tblLook w:val="04A0" w:firstRow="1" w:lastRow="0" w:firstColumn="1" w:lastColumn="0" w:noHBand="0" w:noVBand="1"/>
      </w:tblPr>
      <w:tblGrid>
        <w:gridCol w:w="3195"/>
        <w:gridCol w:w="2896"/>
        <w:gridCol w:w="2976"/>
      </w:tblGrid>
      <w:tr w:rsidR="002C6B97" w14:paraId="622AF760" w14:textId="77777777" w:rsidTr="002C6B97">
        <w:tc>
          <w:tcPr>
            <w:tcW w:w="3195" w:type="dxa"/>
            <w:tcMar>
              <w:top w:w="0" w:type="dxa"/>
              <w:left w:w="108" w:type="dxa"/>
              <w:bottom w:w="0" w:type="dxa"/>
              <w:right w:w="108" w:type="dxa"/>
            </w:tcMar>
            <w:hideMark/>
          </w:tcPr>
          <w:p w14:paraId="49204F14" w14:textId="01494B1A" w:rsidR="002C6B97" w:rsidRDefault="002C6B97">
            <w:pPr>
              <w:pStyle w:val="xmsonormal"/>
              <w:spacing w:after="0" w:line="240" w:lineRule="auto"/>
              <w:jc w:val="right"/>
            </w:pPr>
            <w:r>
              <w:rPr>
                <w:noProof/>
              </w:rPr>
              <w:drawing>
                <wp:inline distT="0" distB="0" distL="0" distR="0" wp14:anchorId="52F0D5E3" wp14:editId="267212D5">
                  <wp:extent cx="1276350" cy="962025"/>
                  <wp:effectExtent l="0" t="0" r="0" b="9525"/>
                  <wp:docPr id="4" name="Image 4" descr="cid:image002.png@01D8EA12.11279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8EA12.11279F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p>
        </w:tc>
        <w:tc>
          <w:tcPr>
            <w:tcW w:w="2896" w:type="dxa"/>
            <w:tcMar>
              <w:top w:w="0" w:type="dxa"/>
              <w:left w:w="108" w:type="dxa"/>
              <w:bottom w:w="0" w:type="dxa"/>
              <w:right w:w="108" w:type="dxa"/>
            </w:tcMar>
            <w:hideMark/>
          </w:tcPr>
          <w:p w14:paraId="77867E3D" w14:textId="77777777" w:rsidR="002C6B97" w:rsidRDefault="002C6B97"/>
        </w:tc>
        <w:tc>
          <w:tcPr>
            <w:tcW w:w="2976" w:type="dxa"/>
            <w:hideMark/>
          </w:tcPr>
          <w:p w14:paraId="7DA5F167" w14:textId="1E692420" w:rsidR="002C6B97" w:rsidRDefault="002C6B97">
            <w:pPr>
              <w:pStyle w:val="xmsonormal"/>
              <w:spacing w:after="0" w:line="240" w:lineRule="auto"/>
            </w:pPr>
            <w:r>
              <w:rPr>
                <w:noProof/>
              </w:rPr>
              <w:drawing>
                <wp:inline distT="0" distB="0" distL="0" distR="0" wp14:anchorId="7C4A35C9" wp14:editId="63507C49">
                  <wp:extent cx="933450" cy="933450"/>
                  <wp:effectExtent l="0" t="0" r="0" b="0"/>
                  <wp:docPr id="3" name="Image 3" descr="cid:image003.jpg@01D8EA12.11279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8EA12.11279F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r>
    </w:tbl>
    <w:p w14:paraId="61B3A4F7" w14:textId="79FA7701" w:rsidR="002C6B97" w:rsidRDefault="002C6B97"/>
    <w:bookmarkEnd w:id="1"/>
    <w:p w14:paraId="4F94C3D5" w14:textId="77777777" w:rsidR="00BC5B23" w:rsidRDefault="00BC5B23" w:rsidP="00BC5B23">
      <w:pPr>
        <w:pStyle w:val="xmsonormal"/>
      </w:pPr>
      <w:r>
        <w:rPr>
          <w:rFonts w:ascii="Arial" w:hAnsi="Arial" w:cs="Arial"/>
          <w:b/>
          <w:bCs/>
          <w:color w:val="2F5496"/>
          <w:u w:val="single"/>
        </w:rPr>
        <w:t>En pièce jointe</w:t>
      </w:r>
      <w:r>
        <w:rPr>
          <w:rFonts w:ascii="Arial" w:hAnsi="Arial" w:cs="Arial"/>
          <w:b/>
          <w:bCs/>
          <w:color w:val="2F5496"/>
        </w:rPr>
        <w:t> : Synthèse de l’étude réalisée par la CRAN</w:t>
      </w:r>
    </w:p>
    <w:p w14:paraId="1929A13E" w14:textId="4A8A7DA3" w:rsidR="00BC5B23" w:rsidRDefault="00BC5B23" w:rsidP="00BC5B23">
      <w:pPr>
        <w:pStyle w:val="xmsonormal"/>
        <w:spacing w:after="0" w:line="240" w:lineRule="auto"/>
        <w:jc w:val="right"/>
      </w:pPr>
      <w:r>
        <w:rPr>
          <w:rFonts w:ascii="Arial" w:hAnsi="Arial" w:cs="Arial"/>
        </w:rPr>
        <w:t>Le 4 novembre 2022</w:t>
      </w:r>
    </w:p>
    <w:p w14:paraId="6D1B7959" w14:textId="77777777" w:rsidR="00BC5B23" w:rsidRDefault="00BC5B23" w:rsidP="00BC5B23">
      <w:pPr>
        <w:pStyle w:val="xmsonormal"/>
        <w:spacing w:after="0" w:line="240" w:lineRule="auto"/>
      </w:pPr>
      <w:r>
        <w:rPr>
          <w:rFonts w:ascii="Arial" w:hAnsi="Arial" w:cs="Arial"/>
          <w:b/>
          <w:bCs/>
          <w:color w:val="808080"/>
          <w:sz w:val="28"/>
          <w:szCs w:val="28"/>
        </w:rPr>
        <w:t xml:space="preserve">Transition glyphosate Normandie : </w:t>
      </w:r>
    </w:p>
    <w:p w14:paraId="520B4384" w14:textId="77777777" w:rsidR="00BC5B23" w:rsidRDefault="00BC5B23" w:rsidP="00BC5B23">
      <w:pPr>
        <w:pStyle w:val="xmsonormal"/>
        <w:spacing w:after="0" w:line="240" w:lineRule="auto"/>
      </w:pPr>
      <w:r>
        <w:rPr>
          <w:rFonts w:ascii="Arial" w:hAnsi="Arial" w:cs="Arial"/>
          <w:b/>
          <w:bCs/>
          <w:sz w:val="28"/>
          <w:szCs w:val="28"/>
        </w:rPr>
        <w:t xml:space="preserve">La Région poursuit son soutien à la transition agroécologique des exploitations normandes </w:t>
      </w:r>
    </w:p>
    <w:p w14:paraId="152A0648" w14:textId="77777777" w:rsidR="00BC5B23" w:rsidRDefault="00BC5B23" w:rsidP="00BC5B23">
      <w:pPr>
        <w:pStyle w:val="xmsonormal"/>
        <w:spacing w:after="0" w:line="240" w:lineRule="auto"/>
      </w:pPr>
      <w:r>
        <w:rPr>
          <w:rFonts w:ascii="Arial" w:hAnsi="Arial" w:cs="Arial"/>
          <w:b/>
          <w:bCs/>
          <w:sz w:val="28"/>
          <w:szCs w:val="28"/>
        </w:rPr>
        <w:t> </w:t>
      </w:r>
    </w:p>
    <w:p w14:paraId="083FBE25" w14:textId="13519AAB" w:rsidR="00BC5B23" w:rsidRDefault="00BC5B23" w:rsidP="00BC5B23">
      <w:pPr>
        <w:pStyle w:val="xmsonormal"/>
        <w:shd w:val="clear" w:color="auto" w:fill="FFFFFF"/>
        <w:spacing w:after="0" w:line="240" w:lineRule="auto"/>
        <w:jc w:val="both"/>
      </w:pPr>
      <w:r>
        <w:rPr>
          <w:rFonts w:ascii="Arial" w:hAnsi="Arial" w:cs="Arial"/>
          <w:b/>
          <w:bCs/>
          <w:color w:val="212121"/>
          <w:shd w:val="clear" w:color="auto" w:fill="FFFFFF"/>
        </w:rPr>
        <w:t>Hervé Morin, Président de la Région Normandie</w:t>
      </w:r>
      <w:r w:rsidR="006347E3">
        <w:rPr>
          <w:rFonts w:ascii="Arial" w:hAnsi="Arial" w:cs="Arial"/>
          <w:b/>
          <w:bCs/>
          <w:color w:val="212121"/>
          <w:shd w:val="clear" w:color="auto" w:fill="FFFFFF"/>
        </w:rPr>
        <w:t xml:space="preserve">, Florence </w:t>
      </w:r>
      <w:proofErr w:type="spellStart"/>
      <w:r w:rsidR="006347E3">
        <w:rPr>
          <w:rFonts w:ascii="Arial" w:hAnsi="Arial" w:cs="Arial"/>
          <w:b/>
          <w:bCs/>
          <w:color w:val="212121"/>
          <w:shd w:val="clear" w:color="auto" w:fill="FFFFFF"/>
        </w:rPr>
        <w:t>Mazier</w:t>
      </w:r>
      <w:proofErr w:type="spellEnd"/>
      <w:r w:rsidR="006347E3">
        <w:rPr>
          <w:rFonts w:ascii="Arial" w:hAnsi="Arial" w:cs="Arial"/>
          <w:b/>
          <w:bCs/>
          <w:color w:val="212121"/>
          <w:shd w:val="clear" w:color="auto" w:fill="FFFFFF"/>
        </w:rPr>
        <w:t xml:space="preserve">, </w:t>
      </w:r>
      <w:r w:rsidR="00F46992">
        <w:rPr>
          <w:rFonts w:ascii="Arial" w:hAnsi="Arial" w:cs="Arial"/>
          <w:b/>
          <w:bCs/>
          <w:color w:val="212121"/>
          <w:shd w:val="clear" w:color="auto" w:fill="FFFFFF"/>
        </w:rPr>
        <w:t>Présidente de la Commission Agriculture et Pêche de la Région</w:t>
      </w:r>
      <w:r w:rsidR="006347E3">
        <w:rPr>
          <w:rFonts w:ascii="Arial" w:hAnsi="Arial" w:cs="Arial"/>
          <w:b/>
          <w:bCs/>
          <w:color w:val="212121"/>
          <w:shd w:val="clear" w:color="auto" w:fill="FFFFFF"/>
        </w:rPr>
        <w:t xml:space="preserve"> Normandie</w:t>
      </w:r>
      <w:r w:rsidR="00454037">
        <w:rPr>
          <w:rFonts w:ascii="Arial" w:hAnsi="Arial" w:cs="Arial"/>
          <w:b/>
          <w:bCs/>
          <w:color w:val="212121"/>
          <w:shd w:val="clear" w:color="auto" w:fill="FFFFFF"/>
        </w:rPr>
        <w:t xml:space="preserve"> </w:t>
      </w:r>
      <w:r>
        <w:rPr>
          <w:rFonts w:ascii="Arial" w:hAnsi="Arial" w:cs="Arial"/>
          <w:b/>
          <w:bCs/>
          <w:color w:val="212121"/>
          <w:shd w:val="clear" w:color="auto" w:fill="FFFFFF"/>
        </w:rPr>
        <w:t xml:space="preserve">et Sébastien Windsor, Président de la Chambre </w:t>
      </w:r>
      <w:r w:rsidRPr="00454037">
        <w:rPr>
          <w:rFonts w:ascii="Arial" w:hAnsi="Arial" w:cs="Arial"/>
          <w:b/>
          <w:bCs/>
          <w:color w:val="000000"/>
        </w:rPr>
        <w:t>r</w:t>
      </w:r>
      <w:r w:rsidRPr="00454037">
        <w:rPr>
          <w:rFonts w:ascii="Arial" w:hAnsi="Arial" w:cs="Arial"/>
          <w:b/>
          <w:bCs/>
          <w:color w:val="212121"/>
          <w:shd w:val="clear" w:color="auto" w:fill="FFFFFF"/>
        </w:rPr>
        <w:t>égionale d'</w:t>
      </w:r>
      <w:r w:rsidRPr="00454037">
        <w:rPr>
          <w:rFonts w:ascii="Arial" w:hAnsi="Arial" w:cs="Arial"/>
          <w:b/>
          <w:bCs/>
          <w:color w:val="000000"/>
        </w:rPr>
        <w:t>a</w:t>
      </w:r>
      <w:r w:rsidRPr="00454037">
        <w:rPr>
          <w:rFonts w:ascii="Arial" w:hAnsi="Arial" w:cs="Arial"/>
          <w:b/>
          <w:bCs/>
          <w:color w:val="212121"/>
          <w:shd w:val="clear" w:color="auto" w:fill="FFFFFF"/>
        </w:rPr>
        <w:t>griculture</w:t>
      </w:r>
      <w:r>
        <w:rPr>
          <w:rFonts w:ascii="Arial" w:hAnsi="Arial" w:cs="Arial"/>
          <w:b/>
          <w:bCs/>
          <w:color w:val="212121"/>
          <w:shd w:val="clear" w:color="auto" w:fill="FFFFFF"/>
        </w:rPr>
        <w:t xml:space="preserve"> de Normandie, ont présenté, ce jour, à l’Abbaye-aux-Dames à Caen, le bilan des deux années du plan expérimental, « Transition glyphosate Normandie » qui a permis d’accompagner 37 exploitations dans le développement de pratiques alternatives</w:t>
      </w:r>
      <w:r>
        <w:rPr>
          <w:color w:val="000000"/>
        </w:rPr>
        <w:t xml:space="preserve"> </w:t>
      </w:r>
      <w:r>
        <w:rPr>
          <w:rFonts w:ascii="Arial" w:hAnsi="Arial" w:cs="Arial"/>
          <w:b/>
          <w:bCs/>
          <w:color w:val="212121"/>
          <w:shd w:val="clear" w:color="auto" w:fill="FFFFFF"/>
        </w:rPr>
        <w:t xml:space="preserve">au glyphosate. </w:t>
      </w:r>
    </w:p>
    <w:p w14:paraId="106E3795" w14:textId="77777777" w:rsidR="00BC5B23" w:rsidRDefault="00BC5B23" w:rsidP="00BC5B23">
      <w:pPr>
        <w:pStyle w:val="xmsonormal"/>
        <w:shd w:val="clear" w:color="auto" w:fill="FFFFFF"/>
        <w:spacing w:after="0" w:line="240" w:lineRule="auto"/>
        <w:jc w:val="both"/>
      </w:pPr>
      <w:r>
        <w:rPr>
          <w:rFonts w:ascii="Arial" w:hAnsi="Arial" w:cs="Arial"/>
          <w:b/>
          <w:bCs/>
          <w:color w:val="212121"/>
          <w:shd w:val="clear" w:color="auto" w:fill="FFFFFF"/>
        </w:rPr>
        <w:t> </w:t>
      </w:r>
    </w:p>
    <w:p w14:paraId="6F57140F" w14:textId="77777777" w:rsidR="00BC5B23" w:rsidRDefault="00BC5B23" w:rsidP="00BC5B23">
      <w:pPr>
        <w:pStyle w:val="xmsonormal"/>
        <w:shd w:val="clear" w:color="auto" w:fill="FFFFFF"/>
        <w:spacing w:after="0" w:line="240" w:lineRule="auto"/>
        <w:jc w:val="both"/>
      </w:pPr>
      <w:r>
        <w:rPr>
          <w:rFonts w:ascii="Arial" w:hAnsi="Arial" w:cs="Arial"/>
          <w:b/>
          <w:bCs/>
          <w:color w:val="212121"/>
          <w:shd w:val="clear" w:color="auto" w:fill="FFFFFF"/>
        </w:rPr>
        <w:t xml:space="preserve">A cette occasion, le nouveau dispositif de soutien à la transition agroécologique des exploitations normandes a été présenté. La Région mobilise une enveloppe totale de 10 millions d’euros (dont 80 % de FEADER) pour ce dispositif sur la période 2023-2027. </w:t>
      </w:r>
    </w:p>
    <w:p w14:paraId="7AA987D8" w14:textId="77777777" w:rsidR="00BC5B23" w:rsidRDefault="00BC5B23" w:rsidP="00BC5B23">
      <w:pPr>
        <w:pStyle w:val="xmsonormal"/>
        <w:shd w:val="clear" w:color="auto" w:fill="FFFFFF"/>
        <w:spacing w:after="0" w:line="240" w:lineRule="auto"/>
        <w:jc w:val="both"/>
      </w:pPr>
      <w:r>
        <w:rPr>
          <w:rFonts w:ascii="Arial" w:hAnsi="Arial" w:cs="Arial"/>
          <w:b/>
          <w:bCs/>
          <w:color w:val="212121"/>
          <w:shd w:val="clear" w:color="auto" w:fill="FFFFFF"/>
        </w:rPr>
        <w:t> </w:t>
      </w:r>
    </w:p>
    <w:p w14:paraId="67223FD1" w14:textId="77777777" w:rsidR="00BC5B23" w:rsidRDefault="00BC5B23" w:rsidP="00BC5B23">
      <w:pPr>
        <w:pStyle w:val="xmsonormal"/>
        <w:shd w:val="clear" w:color="auto" w:fill="FFFFFF"/>
        <w:spacing w:after="0" w:line="240" w:lineRule="auto"/>
        <w:jc w:val="both"/>
      </w:pPr>
      <w:r>
        <w:rPr>
          <w:rFonts w:ascii="Arial" w:hAnsi="Arial" w:cs="Arial"/>
          <w:b/>
          <w:bCs/>
          <w:color w:val="212121"/>
          <w:shd w:val="clear" w:color="auto" w:fill="FFFFFF"/>
        </w:rPr>
        <w:t> </w:t>
      </w:r>
    </w:p>
    <w:p w14:paraId="27F71AFB" w14:textId="77777777" w:rsidR="00BC5B23" w:rsidRDefault="00BC5B23" w:rsidP="00BC5B23">
      <w:pPr>
        <w:pStyle w:val="xmsonormal"/>
        <w:shd w:val="clear" w:color="auto" w:fill="FFFFFF"/>
        <w:spacing w:after="0" w:line="240" w:lineRule="auto"/>
        <w:jc w:val="both"/>
      </w:pPr>
      <w:r>
        <w:rPr>
          <w:rFonts w:ascii="Arial" w:hAnsi="Arial" w:cs="Arial"/>
          <w:b/>
          <w:bCs/>
          <w:color w:val="212121"/>
          <w:sz w:val="26"/>
          <w:szCs w:val="26"/>
          <w:shd w:val="clear" w:color="auto" w:fill="FFFFFF"/>
        </w:rPr>
        <w:t>305 000 euros mobilisés sur deux ans au titre du plan « Transition glyphosate Normandie »</w:t>
      </w:r>
    </w:p>
    <w:p w14:paraId="4DD2D1CB" w14:textId="77777777" w:rsidR="00BC5B23" w:rsidRDefault="00BC5B23" w:rsidP="00BC5B23">
      <w:pPr>
        <w:pStyle w:val="xmsonormal"/>
        <w:shd w:val="clear" w:color="auto" w:fill="FFFFFF"/>
        <w:spacing w:after="0" w:line="240" w:lineRule="auto"/>
        <w:jc w:val="both"/>
      </w:pPr>
      <w:r>
        <w:rPr>
          <w:rFonts w:ascii="Arial" w:hAnsi="Arial" w:cs="Arial"/>
          <w:color w:val="212121"/>
          <w:shd w:val="clear" w:color="auto" w:fill="FFFFFF"/>
        </w:rPr>
        <w:t xml:space="preserve">Pour mémoire, dès 2019, en partenariat avec la </w:t>
      </w:r>
      <w:r w:rsidRPr="00BC5B23">
        <w:rPr>
          <w:rFonts w:ascii="Arial" w:hAnsi="Arial" w:cs="Arial"/>
          <w:color w:val="212121"/>
          <w:shd w:val="clear" w:color="auto" w:fill="FFFFFF"/>
        </w:rPr>
        <w:t xml:space="preserve">Chambre </w:t>
      </w:r>
      <w:r w:rsidRPr="00BC5B23">
        <w:rPr>
          <w:rFonts w:ascii="Arial" w:hAnsi="Arial" w:cs="Arial"/>
          <w:color w:val="000000"/>
        </w:rPr>
        <w:t>r</w:t>
      </w:r>
      <w:r w:rsidRPr="00BC5B23">
        <w:rPr>
          <w:rFonts w:ascii="Arial" w:hAnsi="Arial" w:cs="Arial"/>
          <w:color w:val="212121"/>
          <w:shd w:val="clear" w:color="auto" w:fill="FFFFFF"/>
        </w:rPr>
        <w:t>égionale d’</w:t>
      </w:r>
      <w:r w:rsidRPr="00BC5B23">
        <w:rPr>
          <w:rFonts w:ascii="Arial" w:hAnsi="Arial" w:cs="Arial"/>
          <w:color w:val="000000"/>
        </w:rPr>
        <w:t>a</w:t>
      </w:r>
      <w:r w:rsidRPr="00BC5B23">
        <w:rPr>
          <w:rFonts w:ascii="Arial" w:hAnsi="Arial" w:cs="Arial"/>
          <w:color w:val="212121"/>
          <w:shd w:val="clear" w:color="auto" w:fill="FFFFFF"/>
        </w:rPr>
        <w:t>griculture de</w:t>
      </w:r>
      <w:r>
        <w:rPr>
          <w:rFonts w:ascii="Arial" w:hAnsi="Arial" w:cs="Arial"/>
          <w:color w:val="212121"/>
          <w:shd w:val="clear" w:color="auto" w:fill="FFFFFF"/>
        </w:rPr>
        <w:t xml:space="preserve"> Normandie</w:t>
      </w:r>
      <w:r>
        <w:rPr>
          <w:rFonts w:ascii="Arial" w:hAnsi="Arial" w:cs="Arial"/>
          <w:color w:val="000000"/>
          <w:shd w:val="clear" w:color="auto" w:fill="FFFFFF"/>
        </w:rPr>
        <w:t xml:space="preserve">, </w:t>
      </w:r>
      <w:r>
        <w:rPr>
          <w:rFonts w:ascii="Arial" w:hAnsi="Arial" w:cs="Arial"/>
          <w:color w:val="212121"/>
          <w:shd w:val="clear" w:color="auto" w:fill="FFFFFF"/>
        </w:rPr>
        <w:t>la Région Normandie a déployé un dispositif expérimental afin accompagner financièrement et techniquement les agriculteurs normands souhaitant trouver des solutions alternatives pour supprimer l’usage du glyphosate sur leurs exploitations.</w:t>
      </w:r>
    </w:p>
    <w:p w14:paraId="2BC744F2" w14:textId="77777777" w:rsidR="00BC5B23" w:rsidRDefault="00BC5B23" w:rsidP="00BC5B23">
      <w:pPr>
        <w:pStyle w:val="xmsonormal"/>
        <w:shd w:val="clear" w:color="auto" w:fill="FFFFFF"/>
        <w:spacing w:after="0" w:line="240" w:lineRule="auto"/>
        <w:jc w:val="both"/>
      </w:pPr>
      <w:r>
        <w:rPr>
          <w:rFonts w:ascii="Arial" w:hAnsi="Arial" w:cs="Arial"/>
          <w:color w:val="212121"/>
          <w:shd w:val="clear" w:color="auto" w:fill="FFFFFF"/>
        </w:rPr>
        <w:t> </w:t>
      </w:r>
    </w:p>
    <w:p w14:paraId="16ACB67B" w14:textId="77777777" w:rsidR="00BC5B23" w:rsidRDefault="00BC5B23" w:rsidP="00BC5B23">
      <w:pPr>
        <w:pStyle w:val="xmsonormal"/>
        <w:shd w:val="clear" w:color="auto" w:fill="FFFFFF"/>
        <w:spacing w:after="0" w:line="240" w:lineRule="auto"/>
        <w:jc w:val="both"/>
      </w:pPr>
      <w:r>
        <w:rPr>
          <w:rFonts w:ascii="Arial" w:hAnsi="Arial" w:cs="Arial"/>
          <w:color w:val="212121"/>
          <w:shd w:val="clear" w:color="auto" w:fill="FFFFFF"/>
        </w:rPr>
        <w:t xml:space="preserve">37 exploitations normandes ont fait le choix de s’engager dans la démarche et ont été accompagnées financièrement et techniquement dans le cadre de contrats de transition d’une durée de deux ans. </w:t>
      </w:r>
    </w:p>
    <w:p w14:paraId="5BAFCA1E" w14:textId="5042DE67" w:rsidR="0007597E" w:rsidRPr="0007597E" w:rsidRDefault="00BC5B23" w:rsidP="0007597E">
      <w:pPr>
        <w:pStyle w:val="xmsonormal"/>
        <w:shd w:val="clear" w:color="auto" w:fill="FFFFFF"/>
        <w:spacing w:after="0" w:line="240" w:lineRule="auto"/>
        <w:jc w:val="both"/>
      </w:pPr>
      <w:r>
        <w:rPr>
          <w:rFonts w:ascii="Arial" w:hAnsi="Arial" w:cs="Arial"/>
          <w:color w:val="212121"/>
          <w:shd w:val="clear" w:color="auto" w:fill="FFFFFF"/>
        </w:rPr>
        <w:t> </w:t>
      </w:r>
    </w:p>
    <w:p w14:paraId="2E08125C" w14:textId="39B513CA" w:rsidR="0007597E" w:rsidRDefault="006669EA" w:rsidP="0007597E">
      <w:pPr>
        <w:pStyle w:val="xmsonormal"/>
        <w:jc w:val="both"/>
      </w:pPr>
      <w:bookmarkStart w:id="4" w:name="x__Hlk117860921"/>
      <w:r>
        <w:rPr>
          <w:rFonts w:ascii="Arial" w:hAnsi="Arial" w:cs="Arial"/>
          <w:u w:val="single"/>
        </w:rPr>
        <w:t>Les exploitations normandes engagées dans le dispositif</w:t>
      </w:r>
      <w:bookmarkEnd w:id="4"/>
      <w:r>
        <w:rPr>
          <w:rFonts w:ascii="Arial" w:hAnsi="Arial" w:cs="Arial"/>
          <w:b/>
          <w:bCs/>
        </w:rPr>
        <w:t> :</w:t>
      </w:r>
    </w:p>
    <w:p w14:paraId="3804B2E9" w14:textId="220482EA" w:rsidR="0007597E" w:rsidRDefault="006347E3" w:rsidP="0007597E">
      <w:pPr>
        <w:pStyle w:val="xmsonormal"/>
        <w:jc w:val="both"/>
      </w:pPr>
      <w:r>
        <w:rPr>
          <w:noProof/>
        </w:rPr>
        <w:lastRenderedPageBreak/>
        <w:drawing>
          <wp:inline distT="0" distB="0" distL="0" distR="0" wp14:anchorId="221F169D" wp14:editId="1DB34314">
            <wp:extent cx="2085975" cy="1771650"/>
            <wp:effectExtent l="0" t="0" r="9525" b="0"/>
            <wp:docPr id="13" name="Image 13" descr="cid:image007.png@01D8EF7D.F647C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cid:image007.png@01D8EF7D.F647CA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85975" cy="1771650"/>
                    </a:xfrm>
                    <a:prstGeom prst="rect">
                      <a:avLst/>
                    </a:prstGeom>
                    <a:noFill/>
                    <a:ln>
                      <a:noFill/>
                    </a:ln>
                  </pic:spPr>
                </pic:pic>
              </a:graphicData>
            </a:graphic>
          </wp:inline>
        </w:drawing>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8"/>
        <w:gridCol w:w="4620"/>
        <w:gridCol w:w="334"/>
        <w:gridCol w:w="3950"/>
      </w:tblGrid>
      <w:tr w:rsidR="0007597E" w14:paraId="2A7F0C72" w14:textId="77777777" w:rsidTr="0007597E">
        <w:trPr>
          <w:trHeight w:val="180"/>
          <w:tblCellSpacing w:w="0" w:type="dxa"/>
        </w:trPr>
        <w:tc>
          <w:tcPr>
            <w:tcW w:w="195" w:type="dxa"/>
            <w:vAlign w:val="center"/>
            <w:hideMark/>
          </w:tcPr>
          <w:p w14:paraId="27506CC3" w14:textId="77777777" w:rsidR="0007597E" w:rsidRDefault="0007597E"/>
        </w:tc>
        <w:tc>
          <w:tcPr>
            <w:tcW w:w="3285" w:type="dxa"/>
            <w:vAlign w:val="center"/>
            <w:hideMark/>
          </w:tcPr>
          <w:p w14:paraId="53693FB1" w14:textId="77777777" w:rsidR="0007597E" w:rsidRDefault="0007597E">
            <w:pPr>
              <w:rPr>
                <w:rFonts w:ascii="Times New Roman" w:eastAsia="Times New Roman" w:hAnsi="Times New Roman" w:cs="Times New Roman"/>
                <w:sz w:val="20"/>
                <w:szCs w:val="20"/>
              </w:rPr>
            </w:pPr>
          </w:p>
        </w:tc>
        <w:tc>
          <w:tcPr>
            <w:tcW w:w="390" w:type="dxa"/>
            <w:vAlign w:val="center"/>
            <w:hideMark/>
          </w:tcPr>
          <w:p w14:paraId="07BD54C0" w14:textId="77777777" w:rsidR="0007597E" w:rsidRDefault="0007597E">
            <w:pPr>
              <w:rPr>
                <w:rFonts w:ascii="Times New Roman" w:eastAsia="Times New Roman" w:hAnsi="Times New Roman" w:cs="Times New Roman"/>
                <w:sz w:val="20"/>
                <w:szCs w:val="20"/>
              </w:rPr>
            </w:pPr>
          </w:p>
        </w:tc>
        <w:tc>
          <w:tcPr>
            <w:tcW w:w="4620" w:type="dxa"/>
            <w:vAlign w:val="center"/>
            <w:hideMark/>
          </w:tcPr>
          <w:p w14:paraId="05690F5D" w14:textId="77777777" w:rsidR="0007597E" w:rsidRDefault="0007597E">
            <w:pPr>
              <w:rPr>
                <w:rFonts w:ascii="Times New Roman" w:eastAsia="Times New Roman" w:hAnsi="Times New Roman" w:cs="Times New Roman"/>
                <w:sz w:val="20"/>
                <w:szCs w:val="20"/>
              </w:rPr>
            </w:pPr>
          </w:p>
        </w:tc>
      </w:tr>
      <w:tr w:rsidR="0007597E" w14:paraId="2192884A" w14:textId="77777777" w:rsidTr="0007597E">
        <w:trPr>
          <w:trHeight w:val="60"/>
          <w:tblCellSpacing w:w="0" w:type="dxa"/>
        </w:trPr>
        <w:tc>
          <w:tcPr>
            <w:tcW w:w="0" w:type="auto"/>
            <w:vAlign w:val="center"/>
            <w:hideMark/>
          </w:tcPr>
          <w:p w14:paraId="670D4AF4" w14:textId="77777777" w:rsidR="0007597E" w:rsidRDefault="0007597E">
            <w:pPr>
              <w:rPr>
                <w:rFonts w:ascii="Times New Roman" w:eastAsia="Times New Roman" w:hAnsi="Times New Roman" w:cs="Times New Roman"/>
                <w:sz w:val="20"/>
                <w:szCs w:val="20"/>
              </w:rPr>
            </w:pPr>
          </w:p>
        </w:tc>
        <w:tc>
          <w:tcPr>
            <w:tcW w:w="0" w:type="auto"/>
            <w:vMerge w:val="restart"/>
            <w:hideMark/>
          </w:tcPr>
          <w:p w14:paraId="04014ECE" w14:textId="7BFF4D57" w:rsidR="0007597E" w:rsidRDefault="006347E3">
            <w:pPr>
              <w:rPr>
                <w:rFonts w:ascii="Calibri" w:hAnsi="Calibri" w:cs="Calibri"/>
              </w:rPr>
            </w:pPr>
            <w:r>
              <w:rPr>
                <w:noProof/>
              </w:rPr>
              <w:drawing>
                <wp:inline distT="0" distB="0" distL="0" distR="0" wp14:anchorId="0C4706DB" wp14:editId="1BDEC9F7">
                  <wp:extent cx="2933700" cy="1000125"/>
                  <wp:effectExtent l="0" t="0" r="0" b="9525"/>
                  <wp:docPr id="12" name="Image 12" descr="cid:image009.png@01D8EF7D.F647C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cid:image009.png@01D8EF7D.F647CA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33700" cy="1000125"/>
                          </a:xfrm>
                          <a:prstGeom prst="rect">
                            <a:avLst/>
                          </a:prstGeom>
                          <a:noFill/>
                          <a:ln>
                            <a:noFill/>
                          </a:ln>
                        </pic:spPr>
                      </pic:pic>
                    </a:graphicData>
                  </a:graphic>
                </wp:inline>
              </w:drawing>
            </w:r>
          </w:p>
        </w:tc>
        <w:tc>
          <w:tcPr>
            <w:tcW w:w="0" w:type="auto"/>
            <w:vAlign w:val="center"/>
            <w:hideMark/>
          </w:tcPr>
          <w:p w14:paraId="4138F859" w14:textId="77777777" w:rsidR="0007597E" w:rsidRDefault="0007597E"/>
        </w:tc>
        <w:tc>
          <w:tcPr>
            <w:tcW w:w="0" w:type="auto"/>
            <w:vAlign w:val="center"/>
            <w:hideMark/>
          </w:tcPr>
          <w:p w14:paraId="419C3B0F" w14:textId="77777777" w:rsidR="0007597E" w:rsidRDefault="0007597E">
            <w:pPr>
              <w:rPr>
                <w:rFonts w:ascii="Times New Roman" w:eastAsia="Times New Roman" w:hAnsi="Times New Roman" w:cs="Times New Roman"/>
                <w:sz w:val="20"/>
                <w:szCs w:val="20"/>
              </w:rPr>
            </w:pPr>
          </w:p>
        </w:tc>
      </w:tr>
      <w:tr w:rsidR="0007597E" w14:paraId="7A669083" w14:textId="77777777" w:rsidTr="0007597E">
        <w:trPr>
          <w:trHeight w:val="1575"/>
          <w:tblCellSpacing w:w="0" w:type="dxa"/>
        </w:trPr>
        <w:tc>
          <w:tcPr>
            <w:tcW w:w="0" w:type="auto"/>
            <w:vAlign w:val="center"/>
            <w:hideMark/>
          </w:tcPr>
          <w:p w14:paraId="0D83508F" w14:textId="77777777" w:rsidR="0007597E" w:rsidRDefault="0007597E">
            <w:pPr>
              <w:rPr>
                <w:rFonts w:ascii="Times New Roman" w:eastAsia="Times New Roman" w:hAnsi="Times New Roman" w:cs="Times New Roman"/>
                <w:sz w:val="20"/>
                <w:szCs w:val="20"/>
              </w:rPr>
            </w:pPr>
          </w:p>
        </w:tc>
        <w:tc>
          <w:tcPr>
            <w:tcW w:w="0" w:type="auto"/>
            <w:vMerge/>
            <w:vAlign w:val="center"/>
            <w:hideMark/>
          </w:tcPr>
          <w:p w14:paraId="01B630FB" w14:textId="77777777" w:rsidR="0007597E" w:rsidRDefault="0007597E">
            <w:pPr>
              <w:rPr>
                <w:rFonts w:ascii="Calibri" w:hAnsi="Calibri" w:cs="Calibri"/>
              </w:rPr>
            </w:pPr>
          </w:p>
        </w:tc>
        <w:tc>
          <w:tcPr>
            <w:tcW w:w="0" w:type="auto"/>
            <w:vAlign w:val="center"/>
            <w:hideMark/>
          </w:tcPr>
          <w:p w14:paraId="4581B50C" w14:textId="77777777" w:rsidR="0007597E" w:rsidRDefault="0007597E">
            <w:pPr>
              <w:rPr>
                <w:rFonts w:ascii="Times New Roman" w:eastAsia="Times New Roman" w:hAnsi="Times New Roman" w:cs="Times New Roman"/>
                <w:sz w:val="20"/>
                <w:szCs w:val="20"/>
              </w:rPr>
            </w:pPr>
          </w:p>
        </w:tc>
        <w:tc>
          <w:tcPr>
            <w:tcW w:w="0" w:type="auto"/>
            <w:hideMark/>
          </w:tcPr>
          <w:p w14:paraId="1C0B591E" w14:textId="1334FEFC" w:rsidR="0007597E" w:rsidRDefault="0007597E" w:rsidP="006347E3">
            <w:pPr>
              <w:jc w:val="both"/>
              <w:rPr>
                <w:rFonts w:ascii="Calibri" w:hAnsi="Calibri" w:cs="Calibri"/>
              </w:rPr>
            </w:pPr>
          </w:p>
        </w:tc>
      </w:tr>
      <w:tr w:rsidR="0007597E" w14:paraId="5DADAB8A" w14:textId="77777777" w:rsidTr="0007597E">
        <w:trPr>
          <w:trHeight w:val="1155"/>
          <w:tblCellSpacing w:w="0" w:type="dxa"/>
        </w:trPr>
        <w:tc>
          <w:tcPr>
            <w:tcW w:w="0" w:type="auto"/>
            <w:vAlign w:val="center"/>
            <w:hideMark/>
          </w:tcPr>
          <w:p w14:paraId="4BC2EFC5" w14:textId="77777777" w:rsidR="0007597E" w:rsidRDefault="0007597E"/>
        </w:tc>
        <w:tc>
          <w:tcPr>
            <w:tcW w:w="0" w:type="auto"/>
            <w:vMerge/>
            <w:vAlign w:val="center"/>
            <w:hideMark/>
          </w:tcPr>
          <w:p w14:paraId="10752DEA" w14:textId="77777777" w:rsidR="0007597E" w:rsidRDefault="0007597E">
            <w:pPr>
              <w:rPr>
                <w:rFonts w:ascii="Calibri" w:hAnsi="Calibri" w:cs="Calibri"/>
              </w:rPr>
            </w:pPr>
          </w:p>
        </w:tc>
        <w:tc>
          <w:tcPr>
            <w:tcW w:w="0" w:type="auto"/>
            <w:vAlign w:val="center"/>
            <w:hideMark/>
          </w:tcPr>
          <w:p w14:paraId="7A6F1936" w14:textId="77777777" w:rsidR="0007597E" w:rsidRDefault="0007597E">
            <w:pPr>
              <w:rPr>
                <w:rFonts w:ascii="Times New Roman" w:eastAsia="Times New Roman" w:hAnsi="Times New Roman" w:cs="Times New Roman"/>
                <w:sz w:val="20"/>
                <w:szCs w:val="20"/>
              </w:rPr>
            </w:pPr>
          </w:p>
        </w:tc>
        <w:tc>
          <w:tcPr>
            <w:tcW w:w="0" w:type="auto"/>
            <w:vAlign w:val="center"/>
            <w:hideMark/>
          </w:tcPr>
          <w:p w14:paraId="13271718" w14:textId="77777777" w:rsidR="0007597E" w:rsidRDefault="0007597E">
            <w:pPr>
              <w:rPr>
                <w:rFonts w:ascii="Times New Roman" w:eastAsia="Times New Roman" w:hAnsi="Times New Roman" w:cs="Times New Roman"/>
                <w:sz w:val="20"/>
                <w:szCs w:val="20"/>
              </w:rPr>
            </w:pPr>
          </w:p>
        </w:tc>
      </w:tr>
    </w:tbl>
    <w:p w14:paraId="106FD9EF" w14:textId="78095474" w:rsidR="00BC5B23" w:rsidRDefault="00BC5B23" w:rsidP="00BC5B23">
      <w:pPr>
        <w:pStyle w:val="xmsonormal"/>
        <w:spacing w:after="0" w:line="240" w:lineRule="auto"/>
        <w:jc w:val="both"/>
      </w:pPr>
      <w:r>
        <w:rPr>
          <w:rFonts w:ascii="Arial" w:hAnsi="Arial" w:cs="Arial"/>
          <w:color w:val="212121"/>
          <w:shd w:val="clear" w:color="auto" w:fill="FFFFFF"/>
        </w:rPr>
        <w:t>Au total, la Région a accompagné ces exploitations à hauteur de 305 000 euros sur deux ans et mobilisé deux dispositifs d’aide</w:t>
      </w:r>
      <w:bookmarkStart w:id="5" w:name="x__Hlk117847249"/>
      <w:r>
        <w:rPr>
          <w:rFonts w:ascii="Arial" w:hAnsi="Arial" w:cs="Arial"/>
          <w:color w:val="212121"/>
          <w:shd w:val="clear" w:color="auto" w:fill="FFFFFF"/>
        </w:rPr>
        <w:t xml:space="preserve"> : </w:t>
      </w:r>
      <w:bookmarkEnd w:id="5"/>
    </w:p>
    <w:p w14:paraId="2E0855EE" w14:textId="3DD5489D" w:rsidR="00BC5B23" w:rsidRDefault="00BC5B23" w:rsidP="00BC5B23">
      <w:pPr>
        <w:pStyle w:val="xmsolistparagraph"/>
        <w:shd w:val="clear" w:color="auto" w:fill="FFFFFF"/>
        <w:spacing w:before="0" w:beforeAutospacing="0" w:after="0" w:afterAutospacing="0"/>
        <w:ind w:left="714" w:hanging="357"/>
        <w:jc w:val="both"/>
      </w:pPr>
      <w:r>
        <w:rPr>
          <w:rFonts w:ascii="Symbol" w:hAnsi="Symbol"/>
          <w:color w:val="212121"/>
        </w:rPr>
        <w:t></w:t>
      </w:r>
      <w:r>
        <w:rPr>
          <w:rFonts w:ascii="Times New Roman" w:hAnsi="Times New Roman" w:cs="Times New Roman"/>
          <w:color w:val="212121"/>
          <w:sz w:val="14"/>
          <w:szCs w:val="14"/>
        </w:rPr>
        <w:t xml:space="preserve">         </w:t>
      </w:r>
      <w:r>
        <w:rPr>
          <w:rFonts w:ascii="Arial" w:hAnsi="Arial" w:cs="Arial"/>
          <w:color w:val="212121"/>
          <w:shd w:val="clear" w:color="auto" w:fill="FFFFFF"/>
        </w:rPr>
        <w:t>une aide forfaitaire de 80 euros par hectare de terre arable dans la limite d’un plafond de 8 000 euros</w:t>
      </w:r>
      <w:r>
        <w:rPr>
          <w:color w:val="000000"/>
        </w:rPr>
        <w:t xml:space="preserve"> </w:t>
      </w:r>
      <w:r>
        <w:rPr>
          <w:rFonts w:ascii="Arial" w:hAnsi="Arial" w:cs="Arial"/>
          <w:color w:val="212121"/>
          <w:shd w:val="clear" w:color="auto" w:fill="FFFFFF"/>
        </w:rPr>
        <w:t>par exploitation</w:t>
      </w:r>
      <w:r w:rsidR="00454037">
        <w:rPr>
          <w:rFonts w:ascii="Arial" w:hAnsi="Arial" w:cs="Arial"/>
          <w:color w:val="212121"/>
          <w:shd w:val="clear" w:color="auto" w:fill="FFFFFF"/>
        </w:rPr>
        <w:t xml:space="preserve"> permettant de prendre en charge les surcoûts potentiels de mise en place des mesures alternatives ;</w:t>
      </w:r>
      <w:r>
        <w:rPr>
          <w:rFonts w:ascii="Arial" w:hAnsi="Arial" w:cs="Arial"/>
          <w:color w:val="212121"/>
          <w:shd w:val="clear" w:color="auto" w:fill="FFFFFF"/>
        </w:rPr>
        <w:t xml:space="preserve"> </w:t>
      </w:r>
    </w:p>
    <w:p w14:paraId="10D55678" w14:textId="77777777" w:rsidR="00BC5B23" w:rsidRDefault="00BC5B23" w:rsidP="00BC5B23">
      <w:pPr>
        <w:pStyle w:val="xmsolistparagraph"/>
        <w:numPr>
          <w:ilvl w:val="0"/>
          <w:numId w:val="6"/>
        </w:numPr>
        <w:spacing w:before="0" w:beforeAutospacing="0" w:after="0" w:afterAutospacing="0"/>
        <w:jc w:val="both"/>
        <w:rPr>
          <w:rFonts w:eastAsia="Times New Roman"/>
          <w:color w:val="212121"/>
        </w:rPr>
      </w:pPr>
      <w:proofErr w:type="gramStart"/>
      <w:r>
        <w:rPr>
          <w:rFonts w:ascii="Arial" w:eastAsia="Times New Roman" w:hAnsi="Arial" w:cs="Arial"/>
          <w:color w:val="212121"/>
          <w:shd w:val="clear" w:color="auto" w:fill="FFFFFF"/>
        </w:rPr>
        <w:t>l’accompagnement</w:t>
      </w:r>
      <w:proofErr w:type="gramEnd"/>
      <w:r>
        <w:rPr>
          <w:rFonts w:ascii="Arial" w:eastAsia="Times New Roman" w:hAnsi="Arial" w:cs="Arial"/>
          <w:color w:val="212121"/>
          <w:shd w:val="clear" w:color="auto" w:fill="FFFFFF"/>
        </w:rPr>
        <w:t xml:space="preserve"> par un conseiller spécialisé via le dispositif « Conseil Agricole Stratégique et Economique (CASE) », pris en charge à hauteur de 80 % (dans la limite de 1 500 euros).</w:t>
      </w:r>
    </w:p>
    <w:p w14:paraId="6362E640" w14:textId="0ADB02FD" w:rsidR="00BC5B23" w:rsidRDefault="00BC5B23" w:rsidP="00BC5B23">
      <w:pPr>
        <w:pStyle w:val="xmsonormal"/>
        <w:shd w:val="clear" w:color="auto" w:fill="FFFFFF"/>
        <w:spacing w:after="0" w:line="240" w:lineRule="auto"/>
        <w:jc w:val="both"/>
        <w:rPr>
          <w:rFonts w:ascii="Arial" w:hAnsi="Arial" w:cs="Arial"/>
          <w:color w:val="212121"/>
          <w:shd w:val="clear" w:color="auto" w:fill="FFFFFF"/>
        </w:rPr>
      </w:pPr>
      <w:r>
        <w:rPr>
          <w:rFonts w:ascii="Arial" w:hAnsi="Arial" w:cs="Arial"/>
          <w:color w:val="212121"/>
          <w:shd w:val="clear" w:color="auto" w:fill="FFFFFF"/>
        </w:rPr>
        <w:t xml:space="preserve">Quatre structures de conseil ont apporté un accompagnement technique aux exploitations : les Chambres d’agriculture de Normandie, le cabinet Langlois, Littoral Normand et le </w:t>
      </w:r>
      <w:proofErr w:type="spellStart"/>
      <w:r>
        <w:rPr>
          <w:rFonts w:ascii="Arial" w:hAnsi="Arial" w:cs="Arial"/>
          <w:color w:val="212121"/>
          <w:shd w:val="clear" w:color="auto" w:fill="FFFFFF"/>
        </w:rPr>
        <w:t>CERFrance</w:t>
      </w:r>
      <w:proofErr w:type="spellEnd"/>
      <w:r>
        <w:rPr>
          <w:rFonts w:ascii="Arial" w:hAnsi="Arial" w:cs="Arial"/>
          <w:color w:val="212121"/>
          <w:shd w:val="clear" w:color="auto" w:fill="FFFFFF"/>
        </w:rPr>
        <w:t>.</w:t>
      </w:r>
    </w:p>
    <w:p w14:paraId="0F0E4CC0" w14:textId="436EFD67" w:rsidR="00BC5B23" w:rsidRDefault="00BC5B23" w:rsidP="00BC5B23">
      <w:pPr>
        <w:pStyle w:val="xmsonormal"/>
        <w:shd w:val="clear" w:color="auto" w:fill="FFFFFF"/>
        <w:spacing w:after="0" w:line="240" w:lineRule="auto"/>
        <w:jc w:val="both"/>
      </w:pPr>
    </w:p>
    <w:p w14:paraId="13FC3ABA" w14:textId="57D7F93B" w:rsidR="00454037" w:rsidRPr="00454037" w:rsidRDefault="00454037" w:rsidP="00BC5B23">
      <w:pPr>
        <w:pStyle w:val="xmsonormal"/>
        <w:shd w:val="clear" w:color="auto" w:fill="FFFFFF"/>
        <w:spacing w:after="0" w:line="240" w:lineRule="auto"/>
        <w:jc w:val="both"/>
        <w:rPr>
          <w:rFonts w:ascii="Arial" w:hAnsi="Arial" w:cs="Arial"/>
        </w:rPr>
      </w:pPr>
      <w:r w:rsidRPr="00454037">
        <w:rPr>
          <w:rFonts w:ascii="Arial" w:hAnsi="Arial" w:cs="Arial"/>
        </w:rPr>
        <w:t>Ce dispositif s'inscrit dans le contexte d'évolution de la réglementation sur les usages du glyphosate et la prochaine révision de l'Autorisation de Mise sur le Marché (AMM) des produits le contenant.</w:t>
      </w:r>
    </w:p>
    <w:p w14:paraId="6EED55F4" w14:textId="77777777" w:rsidR="00BC5B23" w:rsidRDefault="00BC5B23" w:rsidP="00BC5B23">
      <w:pPr>
        <w:pStyle w:val="xmsonormal"/>
        <w:shd w:val="clear" w:color="auto" w:fill="FFFFFF"/>
        <w:spacing w:after="0" w:line="240" w:lineRule="auto"/>
        <w:jc w:val="both"/>
      </w:pPr>
      <w:r>
        <w:rPr>
          <w:rFonts w:ascii="Arial" w:hAnsi="Arial" w:cs="Arial"/>
          <w:color w:val="212121"/>
          <w:shd w:val="clear" w:color="auto" w:fill="FFFFFF"/>
        </w:rPr>
        <w:t> </w:t>
      </w:r>
    </w:p>
    <w:p w14:paraId="22076A81" w14:textId="77777777" w:rsidR="00BC5B23" w:rsidRDefault="00BC5B23" w:rsidP="00BC5B23">
      <w:pPr>
        <w:pStyle w:val="xmsonormal"/>
        <w:shd w:val="clear" w:color="auto" w:fill="FFFFFF"/>
        <w:spacing w:after="0" w:line="240" w:lineRule="auto"/>
        <w:jc w:val="both"/>
      </w:pPr>
      <w:r>
        <w:rPr>
          <w:rFonts w:ascii="Arial" w:hAnsi="Arial" w:cs="Arial"/>
          <w:b/>
          <w:bCs/>
          <w:color w:val="212121"/>
          <w:sz w:val="26"/>
          <w:szCs w:val="26"/>
          <w:shd w:val="clear" w:color="auto" w:fill="FFFFFF"/>
        </w:rPr>
        <w:t>Objectif atteint pour les 37 exploitations engagées dans la démarche</w:t>
      </w:r>
    </w:p>
    <w:p w14:paraId="118D89E5" w14:textId="77777777" w:rsidR="00BC5B23" w:rsidRDefault="00BC5B23" w:rsidP="00BC5B23">
      <w:pPr>
        <w:pStyle w:val="xmsonormal"/>
        <w:spacing w:after="0" w:line="240" w:lineRule="auto"/>
        <w:jc w:val="both"/>
      </w:pPr>
      <w:r>
        <w:rPr>
          <w:rFonts w:ascii="Arial" w:hAnsi="Arial" w:cs="Arial"/>
          <w:color w:val="212121"/>
          <w:shd w:val="clear" w:color="auto" w:fill="FFFFFF"/>
        </w:rPr>
        <w:t xml:space="preserve">La première année du dispositif expérimental a permis aux agriculteurs engagés de réduire de manière significative l’usage du glyphosate, à la faveur d’une météo propice à la mise en place des leviers agronomiques et du désherbage mécanique des cultures. </w:t>
      </w:r>
    </w:p>
    <w:p w14:paraId="7DEFBE0D" w14:textId="77777777" w:rsidR="00BC5B23" w:rsidRDefault="00BC5B23" w:rsidP="00BC5B23">
      <w:pPr>
        <w:pStyle w:val="xmsonormal"/>
        <w:spacing w:after="0" w:line="240" w:lineRule="auto"/>
        <w:jc w:val="both"/>
      </w:pPr>
      <w:r>
        <w:rPr>
          <w:rFonts w:ascii="Arial" w:hAnsi="Arial" w:cs="Arial"/>
          <w:color w:val="212121"/>
          <w:shd w:val="clear" w:color="auto" w:fill="FFFFFF"/>
        </w:rPr>
        <w:t> </w:t>
      </w:r>
    </w:p>
    <w:p w14:paraId="715AEAD6" w14:textId="19851884" w:rsidR="00BC5B23" w:rsidRDefault="00BC5B23" w:rsidP="00BC5B23">
      <w:pPr>
        <w:pStyle w:val="xmsonormal"/>
        <w:spacing w:after="0" w:line="240" w:lineRule="auto"/>
        <w:jc w:val="both"/>
      </w:pPr>
      <w:r>
        <w:rPr>
          <w:rFonts w:ascii="Arial" w:hAnsi="Arial" w:cs="Arial"/>
          <w:color w:val="212121"/>
          <w:shd w:val="clear" w:color="auto" w:fill="FFFFFF"/>
        </w:rPr>
        <w:t xml:space="preserve">Malgré des conditions météorologiques beaucoup moins favorables, l’objectif d’arrêter en seconde année l’usage du glyphosate a été atteint sur </w:t>
      </w:r>
      <w:r w:rsidR="00454037">
        <w:rPr>
          <w:rFonts w:ascii="Arial" w:hAnsi="Arial" w:cs="Arial"/>
          <w:color w:val="212121"/>
          <w:shd w:val="clear" w:color="auto" w:fill="FFFFFF"/>
        </w:rPr>
        <w:t xml:space="preserve">une grande majorité des </w:t>
      </w:r>
      <w:r>
        <w:rPr>
          <w:rFonts w:ascii="Arial" w:hAnsi="Arial" w:cs="Arial"/>
          <w:color w:val="212121"/>
          <w:shd w:val="clear" w:color="auto" w:fill="FFFFFF"/>
        </w:rPr>
        <w:t>37 exploitations suivies.</w:t>
      </w:r>
    </w:p>
    <w:p w14:paraId="47F00628" w14:textId="77777777" w:rsidR="00BC5B23" w:rsidRDefault="00BC5B23" w:rsidP="00BC5B23">
      <w:pPr>
        <w:pStyle w:val="xmsonormal"/>
        <w:spacing w:after="0" w:line="240" w:lineRule="auto"/>
        <w:jc w:val="both"/>
      </w:pPr>
      <w:r>
        <w:rPr>
          <w:rFonts w:ascii="Arial" w:hAnsi="Arial" w:cs="Arial"/>
          <w:color w:val="212121"/>
          <w:shd w:val="clear" w:color="auto" w:fill="FFFFFF"/>
        </w:rPr>
        <w:t> </w:t>
      </w:r>
    </w:p>
    <w:p w14:paraId="5A5678B6" w14:textId="21E3E75B" w:rsidR="0007597E" w:rsidRDefault="00BC5B23" w:rsidP="00BC5B23">
      <w:pPr>
        <w:pStyle w:val="xmsonormal"/>
        <w:spacing w:after="0" w:line="240" w:lineRule="auto"/>
        <w:jc w:val="both"/>
        <w:rPr>
          <w:rFonts w:ascii="Arial" w:hAnsi="Arial" w:cs="Arial"/>
          <w:color w:val="212121"/>
          <w:shd w:val="clear" w:color="auto" w:fill="FFFFFF"/>
        </w:rPr>
      </w:pPr>
      <w:r>
        <w:rPr>
          <w:rFonts w:ascii="Arial" w:hAnsi="Arial" w:cs="Arial"/>
          <w:color w:val="212121"/>
          <w:shd w:val="clear" w:color="auto" w:fill="FFFFFF"/>
        </w:rPr>
        <w:t>Ainsi, l’usage moyen de 74 litres de glyphosate par exploitation a été ramené à 3,5 litres en fin du plan d’action. L’IFT herbicide moyen n’a pas augmenté, passant même de 1,58 en moyenne à 1,36</w:t>
      </w:r>
      <w:r w:rsidR="00F94C80">
        <w:rPr>
          <w:rFonts w:ascii="Arial" w:hAnsi="Arial" w:cs="Arial"/>
          <w:color w:val="212121"/>
          <w:shd w:val="clear" w:color="auto" w:fill="FFFFFF"/>
        </w:rPr>
        <w:t xml:space="preserve"> en moyenne. </w:t>
      </w:r>
      <w:r w:rsidRPr="00454037">
        <w:rPr>
          <w:rFonts w:ascii="Arial" w:hAnsi="Arial" w:cs="Arial"/>
          <w:color w:val="212121"/>
          <w:shd w:val="clear" w:color="auto" w:fill="FFFFFF"/>
        </w:rPr>
        <w:t xml:space="preserve">Il est toutefois à noter une augmentation significative de la consommation </w:t>
      </w:r>
      <w:r w:rsidRPr="00454037">
        <w:rPr>
          <w:rFonts w:ascii="Arial" w:hAnsi="Arial" w:cs="Arial"/>
          <w:color w:val="212121"/>
          <w:shd w:val="clear" w:color="auto" w:fill="FFFFFF"/>
        </w:rPr>
        <w:lastRenderedPageBreak/>
        <w:t xml:space="preserve">de carburant de 457 litres/an/exploitation en moyenne associée à l’arrêt du glyphosate dans ces exploitations. </w:t>
      </w:r>
    </w:p>
    <w:p w14:paraId="51A3D51A" w14:textId="153331D2" w:rsidR="00F94C80" w:rsidRDefault="00F94C80" w:rsidP="00BC5B23">
      <w:pPr>
        <w:pStyle w:val="xmsonormal"/>
        <w:spacing w:after="0" w:line="240" w:lineRule="auto"/>
        <w:jc w:val="both"/>
        <w:rPr>
          <w:color w:val="000000" w:themeColor="text1"/>
        </w:rPr>
      </w:pPr>
    </w:p>
    <w:p w14:paraId="680B03ED" w14:textId="26AC6D6B" w:rsidR="00F94C80" w:rsidRPr="00F94C80" w:rsidRDefault="00F94C80" w:rsidP="00BC5B23">
      <w:pPr>
        <w:pStyle w:val="xmsonormal"/>
        <w:spacing w:after="0" w:line="240" w:lineRule="auto"/>
        <w:jc w:val="both"/>
        <w:rPr>
          <w:rFonts w:ascii="Arial" w:hAnsi="Arial" w:cs="Arial"/>
          <w:color w:val="000000" w:themeColor="text1"/>
        </w:rPr>
      </w:pPr>
      <w:r w:rsidRPr="00F94C80">
        <w:rPr>
          <w:rFonts w:ascii="Arial" w:hAnsi="Arial" w:cs="Arial"/>
          <w:color w:val="000000" w:themeColor="text1"/>
        </w:rPr>
        <w:t>Notons également une augmentation des charges de production de 1 600 €/exploitation en moyenne et par an, pouvant atteindre 6 000 € sur certaines exploitations. Ces données sont à nuancer en fonction des pratiques initiales des agriculteurs, notamment en matière de travail du sol.</w:t>
      </w:r>
    </w:p>
    <w:p w14:paraId="6902A3DE" w14:textId="77777777" w:rsidR="00BC5B23" w:rsidRDefault="00BC5B23" w:rsidP="00BC5B23">
      <w:pPr>
        <w:pStyle w:val="xmsonormal"/>
        <w:spacing w:after="0" w:line="240" w:lineRule="auto"/>
        <w:jc w:val="both"/>
      </w:pPr>
      <w:r>
        <w:rPr>
          <w:rFonts w:ascii="Arial" w:hAnsi="Arial" w:cs="Arial"/>
          <w:color w:val="212121"/>
          <w:shd w:val="clear" w:color="auto" w:fill="FFFFFF"/>
        </w:rPr>
        <w:t> </w:t>
      </w:r>
    </w:p>
    <w:p w14:paraId="5A4C7993" w14:textId="4208924A" w:rsidR="00BC5B23" w:rsidRDefault="00BC5B23" w:rsidP="00BC5B23">
      <w:pPr>
        <w:pStyle w:val="xmsonormal"/>
        <w:spacing w:after="0" w:line="240" w:lineRule="auto"/>
        <w:jc w:val="both"/>
        <w:rPr>
          <w:rFonts w:ascii="Arial" w:hAnsi="Arial" w:cs="Arial"/>
          <w:color w:val="000000" w:themeColor="text1"/>
          <w:shd w:val="clear" w:color="auto" w:fill="FFFF00"/>
        </w:rPr>
      </w:pPr>
      <w:r>
        <w:rPr>
          <w:rFonts w:ascii="Arial" w:hAnsi="Arial" w:cs="Arial"/>
          <w:color w:val="212121"/>
          <w:shd w:val="clear" w:color="auto" w:fill="FFFFFF"/>
        </w:rPr>
        <w:t xml:space="preserve">Si certains usages demeurent plus difficiles que d’autres à substituer (ex : l’agriculture de conservation, sans travail du sol, ou le rouissage du lin en année humide), le plan expérimental « Transition glyphosate Normandie » a ainsi montré la possibilité d’adapter les pratiques culturales pour réduire l’usage du glyphosate dans les </w:t>
      </w:r>
      <w:r w:rsidRPr="00BC5B23">
        <w:rPr>
          <w:rFonts w:ascii="Arial" w:hAnsi="Arial" w:cs="Arial"/>
          <w:color w:val="212121"/>
          <w:shd w:val="clear" w:color="auto" w:fill="FFFFFF"/>
        </w:rPr>
        <w:t>exploitations</w:t>
      </w:r>
      <w:r w:rsidRPr="00F94C80">
        <w:rPr>
          <w:rFonts w:ascii="Arial" w:hAnsi="Arial" w:cs="Arial"/>
          <w:color w:val="000000" w:themeColor="text1"/>
          <w:shd w:val="clear" w:color="auto" w:fill="FFFFFF"/>
        </w:rPr>
        <w:t xml:space="preserve">. </w:t>
      </w:r>
    </w:p>
    <w:p w14:paraId="5DE101FD" w14:textId="1C163056" w:rsidR="00F94C80" w:rsidRDefault="00F94C80" w:rsidP="00BC5B23">
      <w:pPr>
        <w:pStyle w:val="xmsonormal"/>
        <w:spacing w:after="0" w:line="240" w:lineRule="auto"/>
        <w:jc w:val="both"/>
        <w:rPr>
          <w:color w:val="000000" w:themeColor="text1"/>
        </w:rPr>
      </w:pPr>
    </w:p>
    <w:p w14:paraId="1A491C86" w14:textId="35AA2C42" w:rsidR="00F94C80" w:rsidRPr="00F94C80" w:rsidRDefault="00F94C80" w:rsidP="00BC5B23">
      <w:pPr>
        <w:pStyle w:val="xmsonormal"/>
        <w:spacing w:after="0" w:line="240" w:lineRule="auto"/>
        <w:jc w:val="both"/>
        <w:rPr>
          <w:rFonts w:ascii="Arial" w:hAnsi="Arial" w:cs="Arial"/>
          <w:color w:val="000000" w:themeColor="text1"/>
        </w:rPr>
      </w:pPr>
      <w:r w:rsidRPr="00F94C80">
        <w:rPr>
          <w:rFonts w:ascii="Arial" w:hAnsi="Arial" w:cs="Arial"/>
          <w:color w:val="000000" w:themeColor="text1"/>
        </w:rPr>
        <w:t>Il ressort également l'importance d'un accompagnement technique sur le long terme pour adapter les pratiques culturales aux conditions locales.</w:t>
      </w:r>
    </w:p>
    <w:p w14:paraId="58AB10A3" w14:textId="77777777" w:rsidR="00F94C80" w:rsidRPr="00F94C80" w:rsidRDefault="00F94C80" w:rsidP="00BC5B23">
      <w:pPr>
        <w:pStyle w:val="xmsonormal"/>
        <w:spacing w:after="0" w:line="240" w:lineRule="auto"/>
        <w:jc w:val="both"/>
        <w:rPr>
          <w:color w:val="000000" w:themeColor="text1"/>
        </w:rPr>
      </w:pPr>
    </w:p>
    <w:p w14:paraId="42E0E4A1" w14:textId="77777777" w:rsidR="00BC5B23" w:rsidRDefault="00BC5B23" w:rsidP="00BC5B23">
      <w:pPr>
        <w:pStyle w:val="xmsonormal"/>
        <w:spacing w:after="0" w:line="240" w:lineRule="auto"/>
        <w:jc w:val="both"/>
      </w:pPr>
      <w:r>
        <w:rPr>
          <w:rFonts w:ascii="Arial" w:hAnsi="Arial" w:cs="Arial"/>
        </w:rPr>
        <w:t>La valorisation et le partage des pratiques alternatives déployées dans ce cadre devra permettre d’inciter de nouveaux agriculteurs à une sortie progressive de l’usage du glyphosate.</w:t>
      </w:r>
    </w:p>
    <w:p w14:paraId="48AFC15D" w14:textId="77777777" w:rsidR="00BC5B23" w:rsidRDefault="00BC5B23" w:rsidP="00BC5B23">
      <w:pPr>
        <w:pStyle w:val="xmsonormal"/>
        <w:spacing w:after="0" w:line="240" w:lineRule="auto"/>
        <w:jc w:val="both"/>
      </w:pPr>
      <w:r>
        <w:rPr>
          <w:rFonts w:ascii="Arial" w:hAnsi="Arial" w:cs="Arial"/>
        </w:rPr>
        <w:t> </w:t>
      </w:r>
    </w:p>
    <w:p w14:paraId="1999F490" w14:textId="77777777" w:rsidR="00BC5B23" w:rsidRDefault="00BC5B23" w:rsidP="00BC5B23">
      <w:pPr>
        <w:pStyle w:val="xmsonormal"/>
        <w:spacing w:after="0" w:line="240" w:lineRule="auto"/>
        <w:jc w:val="both"/>
      </w:pPr>
      <w:r>
        <w:rPr>
          <w:rFonts w:ascii="Arial" w:hAnsi="Arial" w:cs="Arial"/>
          <w:b/>
          <w:bCs/>
          <w:sz w:val="26"/>
          <w:szCs w:val="26"/>
        </w:rPr>
        <w:t xml:space="preserve">Un nouveau dispositif de soutien économique : le Contrat de transition </w:t>
      </w:r>
      <w:r>
        <w:rPr>
          <w:rFonts w:ascii="Arial" w:hAnsi="Arial" w:cs="Arial"/>
          <w:b/>
          <w:bCs/>
          <w:sz w:val="26"/>
          <w:szCs w:val="26"/>
        </w:rPr>
        <w:br/>
        <w:t>« MAEC forfaitaire transition des pratiques »</w:t>
      </w:r>
    </w:p>
    <w:p w14:paraId="424801BE" w14:textId="77777777" w:rsidR="00BC5B23" w:rsidRDefault="00BC5B23" w:rsidP="00BC5B23">
      <w:pPr>
        <w:pStyle w:val="xmsonormal"/>
        <w:spacing w:after="0" w:line="240" w:lineRule="auto"/>
        <w:jc w:val="both"/>
      </w:pPr>
      <w:r>
        <w:rPr>
          <w:rFonts w:ascii="Arial" w:hAnsi="Arial" w:cs="Arial"/>
        </w:rPr>
        <w:t>Si le plan expérimental « Transition glyphosate Normandie » n’a pas vocation à être redéploy</w:t>
      </w:r>
      <w:r w:rsidRPr="00BC5B23">
        <w:rPr>
          <w:rFonts w:ascii="Arial" w:hAnsi="Arial" w:cs="Arial"/>
        </w:rPr>
        <w:t>é</w:t>
      </w:r>
      <w:r>
        <w:rPr>
          <w:rFonts w:ascii="Arial" w:hAnsi="Arial" w:cs="Arial"/>
        </w:rPr>
        <w:t xml:space="preserve"> sous sa forme existante, la diminution de l’usage du glyphosate et plus largement des produits phytosanitaires s’inscrit dans la nouvelle politique agricole de la Région Normandie dont l’un des objectifs est d’accompagner la transition agroécologique des exploitations agricoles normandes.</w:t>
      </w:r>
    </w:p>
    <w:p w14:paraId="5F77B029" w14:textId="77777777" w:rsidR="00BC5B23" w:rsidRDefault="00BC5B23" w:rsidP="00BC5B23">
      <w:pPr>
        <w:pStyle w:val="xmsonormal"/>
        <w:spacing w:after="0" w:line="240" w:lineRule="auto"/>
        <w:jc w:val="both"/>
      </w:pPr>
      <w:r>
        <w:rPr>
          <w:rFonts w:ascii="Arial" w:hAnsi="Arial" w:cs="Arial"/>
        </w:rPr>
        <w:t> </w:t>
      </w:r>
    </w:p>
    <w:p w14:paraId="0DAE0271" w14:textId="77777777" w:rsidR="00BC5B23" w:rsidRDefault="00BC5B23" w:rsidP="00BC5B23">
      <w:pPr>
        <w:pStyle w:val="xmsonormal"/>
        <w:spacing w:after="0" w:line="240" w:lineRule="auto"/>
        <w:jc w:val="both"/>
      </w:pPr>
      <w:r>
        <w:rPr>
          <w:rFonts w:ascii="Arial" w:hAnsi="Arial" w:cs="Arial"/>
        </w:rPr>
        <w:t>Le nouveau dispositif de soutien mis en place par la Région dénommé - Contrat de transition : « MAEC forfaitaire transition des pratiques » pourra ainsi être mobilisé dans cet objectif.</w:t>
      </w:r>
    </w:p>
    <w:p w14:paraId="67A071F4" w14:textId="77777777" w:rsidR="00BC5B23" w:rsidRDefault="00BC5B23" w:rsidP="00BC5B23">
      <w:pPr>
        <w:pStyle w:val="xmsonormal"/>
        <w:spacing w:after="0" w:line="240" w:lineRule="auto"/>
        <w:jc w:val="both"/>
      </w:pPr>
      <w:r>
        <w:rPr>
          <w:rFonts w:ascii="Arial" w:hAnsi="Arial" w:cs="Arial"/>
        </w:rPr>
        <w:t> </w:t>
      </w:r>
    </w:p>
    <w:p w14:paraId="114093BB" w14:textId="77777777" w:rsidR="00BC5B23" w:rsidRDefault="00BC5B23" w:rsidP="00BC5B23">
      <w:pPr>
        <w:pStyle w:val="xmsonormal"/>
        <w:spacing w:after="0" w:line="240" w:lineRule="auto"/>
        <w:jc w:val="both"/>
      </w:pPr>
      <w:r>
        <w:rPr>
          <w:rFonts w:ascii="Arial" w:hAnsi="Arial" w:cs="Arial"/>
        </w:rPr>
        <w:t>Celui-ci doit permettre d’accompagner financièrement, sur une durée de 5 ans, la phase de transition des exploitations agricoles s’engageant à atteindre l’un des trois objectifs suivants :</w:t>
      </w:r>
    </w:p>
    <w:p w14:paraId="75702A99" w14:textId="77777777" w:rsidR="00BC5B23" w:rsidRDefault="00BC5B23" w:rsidP="00BC5B23">
      <w:pPr>
        <w:pStyle w:val="xmsolistparagraph"/>
        <w:spacing w:before="0" w:beforeAutospacing="0" w:after="0" w:afterAutospacing="0"/>
        <w:ind w:left="714" w:hanging="357"/>
        <w:jc w:val="both"/>
      </w:pPr>
      <w:r>
        <w:t>-</w:t>
      </w:r>
      <w:r>
        <w:rPr>
          <w:rFonts w:ascii="Times New Roman" w:hAnsi="Times New Roman" w:cs="Times New Roman"/>
          <w:sz w:val="14"/>
          <w:szCs w:val="14"/>
        </w:rPr>
        <w:t xml:space="preserve">          </w:t>
      </w:r>
      <w:r>
        <w:rPr>
          <w:rFonts w:ascii="Arial" w:hAnsi="Arial" w:cs="Arial"/>
          <w:b/>
          <w:bCs/>
        </w:rPr>
        <w:t>Une réduction des Indicateurs de Fréquence de Traitement (IFT) herbicides et hors herbicides de l’exploitation d’au minimum 30 %.</w:t>
      </w:r>
    </w:p>
    <w:p w14:paraId="6B1F1C3A" w14:textId="77777777" w:rsidR="00BC5B23" w:rsidRDefault="00BC5B23" w:rsidP="00BC5B23">
      <w:pPr>
        <w:pStyle w:val="xmsolistparagraph"/>
        <w:spacing w:before="0" w:beforeAutospacing="0" w:after="0" w:afterAutospacing="0"/>
        <w:ind w:left="714" w:hanging="357"/>
        <w:jc w:val="both"/>
      </w:pPr>
      <w:r>
        <w:t>-</w:t>
      </w:r>
      <w:r>
        <w:rPr>
          <w:rFonts w:ascii="Times New Roman" w:hAnsi="Times New Roman" w:cs="Times New Roman"/>
          <w:sz w:val="14"/>
          <w:szCs w:val="14"/>
        </w:rPr>
        <w:t xml:space="preserve">          </w:t>
      </w:r>
      <w:r>
        <w:rPr>
          <w:rFonts w:ascii="Arial" w:hAnsi="Arial" w:cs="Arial"/>
          <w:b/>
          <w:bCs/>
        </w:rPr>
        <w:t>Une amélioration du bilan carbone de l’exploitation d’au minimum 15 %.</w:t>
      </w:r>
    </w:p>
    <w:p w14:paraId="238AC599" w14:textId="6ED9BC4A" w:rsidR="00BC5B23" w:rsidRDefault="00BC5B23" w:rsidP="00BC5B23">
      <w:pPr>
        <w:pStyle w:val="xmsolistparagraph"/>
        <w:numPr>
          <w:ilvl w:val="0"/>
          <w:numId w:val="7"/>
        </w:numPr>
        <w:spacing w:before="0" w:beforeAutospacing="0" w:after="0" w:afterAutospacing="0"/>
        <w:jc w:val="both"/>
        <w:rPr>
          <w:rFonts w:eastAsia="Times New Roman"/>
        </w:rPr>
      </w:pPr>
      <w:r>
        <w:rPr>
          <w:rFonts w:ascii="Arial" w:eastAsia="Times New Roman" w:hAnsi="Arial" w:cs="Arial"/>
          <w:b/>
          <w:bCs/>
        </w:rPr>
        <w:t>Une amélioration de l’autonomie protéique en élevage</w:t>
      </w:r>
      <w:r>
        <w:rPr>
          <w:rFonts w:ascii="Arial" w:eastAsia="Times New Roman" w:hAnsi="Arial" w:cs="Arial"/>
        </w:rPr>
        <w:t xml:space="preserve"> » avec des indicateurs de résultat obligatoire portant sur l’accroissement de la part de surfaces fourragères d’intérêt protéique, l’amélioration des pratiques d’élevage, l’accroissement de la production fermière de concentrés, la réduction de la dépendance </w:t>
      </w:r>
      <w:r>
        <w:rPr>
          <w:lang w:eastAsia="en-US"/>
        </w:rPr>
        <w:t>aux protéines importées.</w:t>
      </w:r>
    </w:p>
    <w:p w14:paraId="1DCB410C" w14:textId="77777777" w:rsidR="00BC5B23" w:rsidRDefault="00BC5B23" w:rsidP="00BC5B23">
      <w:pPr>
        <w:pStyle w:val="xmsolistparagraph"/>
        <w:spacing w:before="0" w:beforeAutospacing="0" w:after="0" w:afterAutospacing="0"/>
        <w:ind w:left="720"/>
        <w:jc w:val="both"/>
      </w:pPr>
      <w:r>
        <w:rPr>
          <w:rFonts w:ascii="Arial" w:hAnsi="Arial" w:cs="Arial"/>
          <w:b/>
          <w:bCs/>
        </w:rPr>
        <w:t> </w:t>
      </w:r>
    </w:p>
    <w:p w14:paraId="198B2142" w14:textId="77777777" w:rsidR="00BC5B23" w:rsidRDefault="00BC5B23" w:rsidP="00BC5B23">
      <w:pPr>
        <w:pStyle w:val="xmsonormal"/>
        <w:spacing w:after="0" w:line="240" w:lineRule="auto"/>
        <w:jc w:val="both"/>
      </w:pPr>
      <w:r>
        <w:rPr>
          <w:rFonts w:ascii="Arial" w:hAnsi="Arial" w:cs="Arial"/>
          <w:b/>
          <w:bCs/>
        </w:rPr>
        <w:t xml:space="preserve">Les exploitations engagées pourront bénéficier d’une aide forfaitaire de la Région d’un montant de 18 000 euros. </w:t>
      </w:r>
      <w:r>
        <w:rPr>
          <w:rFonts w:ascii="Arial" w:hAnsi="Arial" w:cs="Arial"/>
        </w:rPr>
        <w:t>Elles bénéficieront, par ailleurs,</w:t>
      </w:r>
      <w:r>
        <w:rPr>
          <w:rFonts w:ascii="Arial" w:hAnsi="Arial" w:cs="Arial"/>
          <w:b/>
          <w:bCs/>
        </w:rPr>
        <w:t xml:space="preserve"> </w:t>
      </w:r>
      <w:r>
        <w:rPr>
          <w:rFonts w:ascii="Arial" w:hAnsi="Arial" w:cs="Arial"/>
        </w:rPr>
        <w:t>durant toute la durée du « Contrat de transition » d’un accompagnement technique par une structure de conseil agricole habilitée par la Région Normandie. L’accompagnement portera notamment sur la réalisation de 2 diagnostics agroécologiques (initial et final), la définition d’un plan d’actions et le suivi de ce plan d’actions.</w:t>
      </w:r>
    </w:p>
    <w:p w14:paraId="0987A7CA" w14:textId="77777777" w:rsidR="00BC5B23" w:rsidRDefault="00BC5B23" w:rsidP="00BC5B23">
      <w:pPr>
        <w:pStyle w:val="xmsonormal"/>
        <w:spacing w:after="0" w:line="240" w:lineRule="auto"/>
        <w:jc w:val="both"/>
      </w:pPr>
      <w:r>
        <w:rPr>
          <w:rFonts w:ascii="Arial" w:hAnsi="Arial" w:cs="Arial"/>
          <w:b/>
          <w:bCs/>
        </w:rPr>
        <w:t> </w:t>
      </w:r>
    </w:p>
    <w:p w14:paraId="343C9673" w14:textId="77777777" w:rsidR="00BC5B23" w:rsidRDefault="00BC5B23" w:rsidP="00BC5B23">
      <w:pPr>
        <w:pStyle w:val="xmsonormal"/>
        <w:spacing w:after="0" w:line="240" w:lineRule="auto"/>
        <w:jc w:val="both"/>
      </w:pPr>
      <w:r>
        <w:rPr>
          <w:rFonts w:ascii="Arial" w:hAnsi="Arial" w:cs="Arial"/>
          <w:b/>
          <w:bCs/>
        </w:rPr>
        <w:t>Le dépôt des dossiers devra être réalisé entre le 1</w:t>
      </w:r>
      <w:r>
        <w:rPr>
          <w:rFonts w:ascii="Arial" w:hAnsi="Arial" w:cs="Arial"/>
          <w:b/>
          <w:bCs/>
          <w:vertAlign w:val="superscript"/>
        </w:rPr>
        <w:t>er</w:t>
      </w:r>
      <w:r>
        <w:rPr>
          <w:rFonts w:ascii="Arial" w:hAnsi="Arial" w:cs="Arial"/>
          <w:b/>
          <w:bCs/>
        </w:rPr>
        <w:t xml:space="preserve"> janvier et le 31 mars 2023. </w:t>
      </w:r>
      <w:r>
        <w:rPr>
          <w:rFonts w:ascii="Arial" w:hAnsi="Arial" w:cs="Arial"/>
        </w:rPr>
        <w:t>Les agriculteurs sont donc invités à se rapprocher des structures habilitées dès à présent.</w:t>
      </w:r>
    </w:p>
    <w:p w14:paraId="136477BF" w14:textId="77777777" w:rsidR="00BC5B23" w:rsidRDefault="00BC5B23" w:rsidP="00BC5B23">
      <w:pPr>
        <w:pStyle w:val="xmsonormal"/>
        <w:spacing w:after="0" w:line="240" w:lineRule="auto"/>
        <w:jc w:val="both"/>
      </w:pPr>
      <w:r>
        <w:rPr>
          <w:rFonts w:ascii="Arial" w:hAnsi="Arial" w:cs="Arial"/>
          <w:b/>
          <w:bCs/>
        </w:rPr>
        <w:t> </w:t>
      </w:r>
    </w:p>
    <w:p w14:paraId="1052962F" w14:textId="77777777" w:rsidR="00BC5B23" w:rsidRDefault="00BC5B23" w:rsidP="00BC5B23">
      <w:pPr>
        <w:pStyle w:val="xmsonormal"/>
        <w:spacing w:after="0" w:line="240" w:lineRule="auto"/>
        <w:jc w:val="both"/>
      </w:pPr>
      <w:r>
        <w:rPr>
          <w:rFonts w:ascii="Arial" w:hAnsi="Arial" w:cs="Arial"/>
          <w:u w:val="single"/>
        </w:rPr>
        <w:t>Les structures habilitées</w:t>
      </w:r>
      <w:r>
        <w:rPr>
          <w:rFonts w:ascii="Arial" w:hAnsi="Arial" w:cs="Arial"/>
          <w:b/>
          <w:bCs/>
        </w:rPr>
        <w:t xml:space="preserve"> : </w:t>
      </w:r>
    </w:p>
    <w:p w14:paraId="4B583A9A" w14:textId="77777777" w:rsidR="00BC5B23" w:rsidRDefault="00BC5B23" w:rsidP="00BC5B23">
      <w:pPr>
        <w:pStyle w:val="xmsolistparagraph"/>
        <w:spacing w:before="0" w:beforeAutospacing="0" w:after="0" w:afterAutospacing="0"/>
        <w:ind w:left="714" w:hanging="357"/>
        <w:jc w:val="both"/>
      </w:pPr>
      <w:proofErr w:type="gramStart"/>
      <w:r>
        <w:rPr>
          <w:rFonts w:ascii="Wingdings" w:hAnsi="Wingdings"/>
        </w:rPr>
        <w:t></w:t>
      </w:r>
      <w:r>
        <w:rPr>
          <w:rFonts w:ascii="Times New Roman" w:hAnsi="Times New Roman" w:cs="Times New Roman"/>
          <w:sz w:val="14"/>
          <w:szCs w:val="14"/>
        </w:rPr>
        <w:t xml:space="preserve">  </w:t>
      </w:r>
      <w:r w:rsidRPr="00BC5B23">
        <w:rPr>
          <w:rFonts w:ascii="Arial" w:hAnsi="Arial" w:cs="Arial"/>
        </w:rPr>
        <w:t>Chambres</w:t>
      </w:r>
      <w:proofErr w:type="gramEnd"/>
      <w:r w:rsidRPr="00BC5B23">
        <w:rPr>
          <w:rFonts w:ascii="Arial" w:hAnsi="Arial" w:cs="Arial"/>
        </w:rPr>
        <w:t xml:space="preserve"> d’agriculture de Normandie</w:t>
      </w:r>
    </w:p>
    <w:p w14:paraId="12CD0243" w14:textId="77777777" w:rsidR="00BC5B23" w:rsidRDefault="00BC5B23" w:rsidP="00BC5B23">
      <w:pPr>
        <w:pStyle w:val="xmsolistparagraph"/>
        <w:spacing w:before="0" w:beforeAutospacing="0" w:after="0" w:afterAutospacing="0"/>
        <w:ind w:left="714" w:hanging="357"/>
        <w:jc w:val="both"/>
      </w:pPr>
      <w:proofErr w:type="gramStart"/>
      <w:r>
        <w:rPr>
          <w:rFonts w:ascii="Wingdings" w:hAnsi="Wingdings"/>
        </w:rPr>
        <w:t></w:t>
      </w:r>
      <w:r>
        <w:rPr>
          <w:rFonts w:ascii="Times New Roman" w:hAnsi="Times New Roman" w:cs="Times New Roman"/>
          <w:sz w:val="14"/>
          <w:szCs w:val="14"/>
        </w:rPr>
        <w:t xml:space="preserve">  </w:t>
      </w:r>
      <w:proofErr w:type="spellStart"/>
      <w:r>
        <w:rPr>
          <w:rFonts w:ascii="Arial" w:hAnsi="Arial" w:cs="Arial"/>
        </w:rPr>
        <w:t>CERfrance</w:t>
      </w:r>
      <w:proofErr w:type="spellEnd"/>
      <w:proofErr w:type="gramEnd"/>
    </w:p>
    <w:p w14:paraId="5DDC6F6C" w14:textId="77777777" w:rsidR="00BC5B23" w:rsidRDefault="00BC5B23" w:rsidP="00BC5B23">
      <w:pPr>
        <w:pStyle w:val="xmsolistparagraph"/>
        <w:spacing w:before="0" w:beforeAutospacing="0" w:after="0" w:afterAutospacing="0"/>
        <w:ind w:left="714" w:hanging="357"/>
        <w:jc w:val="both"/>
      </w:pPr>
      <w:proofErr w:type="gramStart"/>
      <w:r>
        <w:rPr>
          <w:rFonts w:ascii="Wingdings" w:hAnsi="Wingdings"/>
        </w:rPr>
        <w:lastRenderedPageBreak/>
        <w:t></w:t>
      </w:r>
      <w:r>
        <w:rPr>
          <w:rFonts w:ascii="Times New Roman" w:hAnsi="Times New Roman" w:cs="Times New Roman"/>
          <w:sz w:val="14"/>
          <w:szCs w:val="14"/>
        </w:rPr>
        <w:t xml:space="preserve">  </w:t>
      </w:r>
      <w:r>
        <w:rPr>
          <w:rFonts w:ascii="Arial" w:hAnsi="Arial" w:cs="Arial"/>
        </w:rPr>
        <w:t>Littoral</w:t>
      </w:r>
      <w:proofErr w:type="gramEnd"/>
      <w:r>
        <w:rPr>
          <w:rFonts w:ascii="Arial" w:hAnsi="Arial" w:cs="Arial"/>
        </w:rPr>
        <w:t xml:space="preserve"> Normand</w:t>
      </w:r>
    </w:p>
    <w:p w14:paraId="6CAB6D14" w14:textId="77777777" w:rsidR="00BC5B23" w:rsidRDefault="00BC5B23" w:rsidP="00BC5B23">
      <w:pPr>
        <w:pStyle w:val="xmsolistparagraph"/>
        <w:spacing w:before="0" w:beforeAutospacing="0" w:after="0" w:afterAutospacing="0"/>
        <w:ind w:left="714" w:hanging="357"/>
        <w:jc w:val="both"/>
      </w:pPr>
      <w:proofErr w:type="gramStart"/>
      <w:r>
        <w:rPr>
          <w:rFonts w:ascii="Wingdings" w:hAnsi="Wingdings"/>
        </w:rPr>
        <w:t></w:t>
      </w:r>
      <w:r>
        <w:rPr>
          <w:rFonts w:ascii="Times New Roman" w:hAnsi="Times New Roman" w:cs="Times New Roman"/>
          <w:sz w:val="14"/>
          <w:szCs w:val="14"/>
        </w:rPr>
        <w:t xml:space="preserve">  </w:t>
      </w:r>
      <w:r>
        <w:rPr>
          <w:rFonts w:ascii="Arial" w:hAnsi="Arial" w:cs="Arial"/>
        </w:rPr>
        <w:t>Cabinet</w:t>
      </w:r>
      <w:proofErr w:type="gramEnd"/>
      <w:r>
        <w:rPr>
          <w:rFonts w:ascii="Arial" w:hAnsi="Arial" w:cs="Arial"/>
        </w:rPr>
        <w:t xml:space="preserve"> Langlois</w:t>
      </w:r>
    </w:p>
    <w:p w14:paraId="07849939" w14:textId="77777777" w:rsidR="00BC5B23" w:rsidRDefault="00BC5B23" w:rsidP="00BC5B23">
      <w:pPr>
        <w:pStyle w:val="xmsolistparagraph"/>
        <w:spacing w:before="0" w:beforeAutospacing="0" w:after="0" w:afterAutospacing="0"/>
        <w:ind w:left="714" w:hanging="357"/>
        <w:jc w:val="both"/>
      </w:pPr>
      <w:proofErr w:type="gramStart"/>
      <w:r>
        <w:rPr>
          <w:rFonts w:ascii="Wingdings" w:hAnsi="Wingdings"/>
        </w:rPr>
        <w:t></w:t>
      </w:r>
      <w:r>
        <w:rPr>
          <w:rFonts w:ascii="Times New Roman" w:hAnsi="Times New Roman" w:cs="Times New Roman"/>
          <w:sz w:val="14"/>
          <w:szCs w:val="14"/>
        </w:rPr>
        <w:t xml:space="preserve">  </w:t>
      </w:r>
      <w:r>
        <w:rPr>
          <w:rFonts w:ascii="Arial" w:hAnsi="Arial" w:cs="Arial"/>
        </w:rPr>
        <w:t>Réseau</w:t>
      </w:r>
      <w:proofErr w:type="gramEnd"/>
      <w:r>
        <w:rPr>
          <w:rFonts w:ascii="Arial" w:hAnsi="Arial" w:cs="Arial"/>
        </w:rPr>
        <w:t xml:space="preserve"> des CIVAM normands</w:t>
      </w:r>
    </w:p>
    <w:p w14:paraId="04F6C40D" w14:textId="77777777" w:rsidR="00BC5B23" w:rsidRDefault="00BC5B23" w:rsidP="00BC5B23">
      <w:pPr>
        <w:pStyle w:val="xmsonormal"/>
        <w:spacing w:after="0" w:line="240" w:lineRule="auto"/>
      </w:pPr>
      <w:r>
        <w:rPr>
          <w:rFonts w:ascii="Arial" w:hAnsi="Arial" w:cs="Arial"/>
          <w:b/>
          <w:bCs/>
          <w:color w:val="FF0000"/>
        </w:rPr>
        <w:t> </w:t>
      </w:r>
    </w:p>
    <w:p w14:paraId="09CBDDE0" w14:textId="77777777" w:rsidR="00BC5B23" w:rsidRDefault="00BC5B23" w:rsidP="00BC5B23">
      <w:pPr>
        <w:pStyle w:val="xmsonormal"/>
        <w:spacing w:after="0" w:line="240" w:lineRule="auto"/>
      </w:pPr>
      <w:r>
        <w:rPr>
          <w:rFonts w:ascii="Arial" w:hAnsi="Arial" w:cs="Arial"/>
        </w:rPr>
        <w:t xml:space="preserve">Contact presse : Charlotte Chanteloup - 06 42 08 11 68 - </w:t>
      </w:r>
      <w:hyperlink r:id="rId14" w:history="1">
        <w:r>
          <w:rPr>
            <w:rStyle w:val="Lienhypertexte"/>
            <w:rFonts w:ascii="Arial" w:hAnsi="Arial" w:cs="Arial"/>
          </w:rPr>
          <w:t>charlotte.chanteloup@normandie.fr</w:t>
        </w:r>
      </w:hyperlink>
    </w:p>
    <w:p w14:paraId="6D0B81DC" w14:textId="77777777" w:rsidR="00BC5B23" w:rsidRDefault="00BC5B23" w:rsidP="00BC5B23">
      <w:pPr>
        <w:pStyle w:val="xmsonormal"/>
        <w:spacing w:after="0" w:line="240" w:lineRule="auto"/>
      </w:pPr>
      <w:r>
        <w:rPr>
          <w:rFonts w:ascii="Arial" w:hAnsi="Arial" w:cs="Arial"/>
          <w:b/>
          <w:bCs/>
          <w:color w:val="FF0000"/>
        </w:rPr>
        <w:t> </w:t>
      </w:r>
    </w:p>
    <w:p w14:paraId="6D81CA8F" w14:textId="77777777" w:rsidR="00BC5B23" w:rsidRDefault="00BC5B23" w:rsidP="00BC5B23">
      <w:pPr>
        <w:pStyle w:val="xmsonormal"/>
        <w:spacing w:after="0" w:line="240" w:lineRule="auto"/>
        <w:jc w:val="both"/>
      </w:pPr>
      <w:r>
        <w:rPr>
          <w:rFonts w:ascii="Arial" w:hAnsi="Arial" w:cs="Arial"/>
          <w:b/>
          <w:bCs/>
        </w:rPr>
        <w:t> </w:t>
      </w:r>
    </w:p>
    <w:p w14:paraId="2744B0AF" w14:textId="77777777" w:rsidR="00BC5B23" w:rsidRDefault="00BC5B23" w:rsidP="00BC5B23">
      <w:pPr>
        <w:pStyle w:val="xmsonormal"/>
        <w:shd w:val="clear" w:color="auto" w:fill="FFFFFF"/>
        <w:spacing w:after="0" w:line="240" w:lineRule="auto"/>
        <w:jc w:val="both"/>
      </w:pPr>
      <w:r>
        <w:rPr>
          <w:rFonts w:ascii="Arial" w:hAnsi="Arial" w:cs="Arial"/>
          <w:color w:val="212121"/>
          <w:shd w:val="clear" w:color="auto" w:fill="FFFFFF"/>
        </w:rPr>
        <w:t> </w:t>
      </w:r>
    </w:p>
    <w:p w14:paraId="113AF03C" w14:textId="77777777" w:rsidR="00BC5B23" w:rsidRDefault="00BC5B23" w:rsidP="00BC5B23">
      <w:pPr>
        <w:pStyle w:val="xmsonormal"/>
        <w:spacing w:after="0" w:line="240" w:lineRule="auto"/>
        <w:jc w:val="both"/>
      </w:pPr>
      <w:r>
        <w:rPr>
          <w:rFonts w:ascii="Arial" w:hAnsi="Arial" w:cs="Arial"/>
          <w:color w:val="212121"/>
          <w:shd w:val="clear" w:color="auto" w:fill="FFFFFF"/>
        </w:rPr>
        <w:t> </w:t>
      </w:r>
    </w:p>
    <w:p w14:paraId="1D1EEC4A" w14:textId="77777777" w:rsidR="00BC5B23" w:rsidRDefault="00BC5B23" w:rsidP="00BC5B23">
      <w:pPr>
        <w:pStyle w:val="xmsonormal"/>
        <w:spacing w:after="0" w:line="240" w:lineRule="auto"/>
      </w:pPr>
      <w:r>
        <w:t> </w:t>
      </w:r>
    </w:p>
    <w:p w14:paraId="465B9917" w14:textId="77777777" w:rsidR="00BC5B23" w:rsidRDefault="00BC5B23" w:rsidP="00BC5B23">
      <w:pPr>
        <w:pStyle w:val="xmsonormal"/>
        <w:spacing w:after="0" w:line="240" w:lineRule="auto"/>
      </w:pPr>
      <w:r>
        <w:t> </w:t>
      </w:r>
    </w:p>
    <w:p w14:paraId="430CE8C3" w14:textId="77777777" w:rsidR="00BC5B23" w:rsidRDefault="00BC5B23" w:rsidP="00BC5B23">
      <w:pPr>
        <w:pStyle w:val="xmsonormal"/>
        <w:spacing w:after="0" w:line="240" w:lineRule="auto"/>
      </w:pPr>
      <w:r>
        <w:t> </w:t>
      </w:r>
    </w:p>
    <w:p w14:paraId="5D53C142" w14:textId="614A5FC6" w:rsidR="002C6B97" w:rsidRPr="002C6B97" w:rsidRDefault="00BC5B23" w:rsidP="00BC5B23">
      <w:pPr>
        <w:spacing w:after="0" w:line="240" w:lineRule="auto"/>
        <w:rPr>
          <w:rFonts w:ascii="Arial" w:hAnsi="Arial" w:cs="Arial"/>
        </w:rPr>
      </w:pPr>
      <w:r>
        <w:br/>
      </w:r>
      <w:bookmarkEnd w:id="2"/>
      <w:bookmarkEnd w:id="3"/>
    </w:p>
    <w:sectPr w:rsidR="002C6B97" w:rsidRPr="002C6B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54782"/>
    <w:multiLevelType w:val="hybridMultilevel"/>
    <w:tmpl w:val="D49E65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F4325"/>
    <w:multiLevelType w:val="hybridMultilevel"/>
    <w:tmpl w:val="2C6812D0"/>
    <w:lvl w:ilvl="0" w:tplc="27925E74">
      <w:start w:val="1"/>
      <w:numFmt w:val="bullet"/>
      <w:lvlText w:val="-"/>
      <w:lvlJc w:val="left"/>
      <w:pPr>
        <w:ind w:left="720" w:hanging="360"/>
      </w:pPr>
      <w:rPr>
        <w:rFonts w:ascii="Calibri" w:hAnsi="Calibri" w:hint="default"/>
      </w:rPr>
    </w:lvl>
    <w:lvl w:ilvl="1" w:tplc="2180749E">
      <w:start w:val="1"/>
      <w:numFmt w:val="bullet"/>
      <w:lvlText w:val="o"/>
      <w:lvlJc w:val="left"/>
      <w:pPr>
        <w:ind w:left="1440" w:hanging="360"/>
      </w:pPr>
      <w:rPr>
        <w:rFonts w:ascii="Courier New" w:hAnsi="Courier New" w:hint="default"/>
      </w:rPr>
    </w:lvl>
    <w:lvl w:ilvl="2" w:tplc="74042B1A">
      <w:start w:val="1"/>
      <w:numFmt w:val="bullet"/>
      <w:lvlText w:val=""/>
      <w:lvlJc w:val="left"/>
      <w:pPr>
        <w:ind w:left="2160" w:hanging="360"/>
      </w:pPr>
      <w:rPr>
        <w:rFonts w:ascii="Wingdings" w:hAnsi="Wingdings" w:hint="default"/>
      </w:rPr>
    </w:lvl>
    <w:lvl w:ilvl="3" w:tplc="0A34BF50">
      <w:start w:val="1"/>
      <w:numFmt w:val="bullet"/>
      <w:lvlText w:val=""/>
      <w:lvlJc w:val="left"/>
      <w:pPr>
        <w:ind w:left="2880" w:hanging="360"/>
      </w:pPr>
      <w:rPr>
        <w:rFonts w:ascii="Symbol" w:hAnsi="Symbol" w:hint="default"/>
      </w:rPr>
    </w:lvl>
    <w:lvl w:ilvl="4" w:tplc="F452B4A0">
      <w:start w:val="1"/>
      <w:numFmt w:val="bullet"/>
      <w:lvlText w:val="o"/>
      <w:lvlJc w:val="left"/>
      <w:pPr>
        <w:ind w:left="3600" w:hanging="360"/>
      </w:pPr>
      <w:rPr>
        <w:rFonts w:ascii="Courier New" w:hAnsi="Courier New" w:hint="default"/>
      </w:rPr>
    </w:lvl>
    <w:lvl w:ilvl="5" w:tplc="DA24238C">
      <w:start w:val="1"/>
      <w:numFmt w:val="bullet"/>
      <w:lvlText w:val=""/>
      <w:lvlJc w:val="left"/>
      <w:pPr>
        <w:ind w:left="4320" w:hanging="360"/>
      </w:pPr>
      <w:rPr>
        <w:rFonts w:ascii="Wingdings" w:hAnsi="Wingdings" w:hint="default"/>
      </w:rPr>
    </w:lvl>
    <w:lvl w:ilvl="6" w:tplc="2090BDCA">
      <w:start w:val="1"/>
      <w:numFmt w:val="bullet"/>
      <w:lvlText w:val=""/>
      <w:lvlJc w:val="left"/>
      <w:pPr>
        <w:ind w:left="5040" w:hanging="360"/>
      </w:pPr>
      <w:rPr>
        <w:rFonts w:ascii="Symbol" w:hAnsi="Symbol" w:hint="default"/>
      </w:rPr>
    </w:lvl>
    <w:lvl w:ilvl="7" w:tplc="8FF8C61A">
      <w:start w:val="1"/>
      <w:numFmt w:val="bullet"/>
      <w:lvlText w:val="o"/>
      <w:lvlJc w:val="left"/>
      <w:pPr>
        <w:ind w:left="5760" w:hanging="360"/>
      </w:pPr>
      <w:rPr>
        <w:rFonts w:ascii="Courier New" w:hAnsi="Courier New" w:hint="default"/>
      </w:rPr>
    </w:lvl>
    <w:lvl w:ilvl="8" w:tplc="58E6E03C">
      <w:start w:val="1"/>
      <w:numFmt w:val="bullet"/>
      <w:lvlText w:val=""/>
      <w:lvlJc w:val="left"/>
      <w:pPr>
        <w:ind w:left="6480" w:hanging="360"/>
      </w:pPr>
      <w:rPr>
        <w:rFonts w:ascii="Wingdings" w:hAnsi="Wingdings" w:hint="default"/>
      </w:rPr>
    </w:lvl>
  </w:abstractNum>
  <w:abstractNum w:abstractNumId="2" w15:restartNumberingAfterBreak="0">
    <w:nsid w:val="3ED06666"/>
    <w:multiLevelType w:val="hybridMultilevel"/>
    <w:tmpl w:val="28EC30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A5611D"/>
    <w:multiLevelType w:val="hybridMultilevel"/>
    <w:tmpl w:val="B3821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547986"/>
    <w:multiLevelType w:val="multilevel"/>
    <w:tmpl w:val="C5A00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F43535"/>
    <w:multiLevelType w:val="multilevel"/>
    <w:tmpl w:val="F8DA8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235495"/>
    <w:multiLevelType w:val="hybridMultilevel"/>
    <w:tmpl w:val="1B40C1FC"/>
    <w:lvl w:ilvl="0" w:tplc="8BDC0B82">
      <w:start w:val="1"/>
      <w:numFmt w:val="bullet"/>
      <w:lvlText w:val="-"/>
      <w:lvlJc w:val="left"/>
      <w:pPr>
        <w:ind w:left="720" w:hanging="360"/>
      </w:pPr>
      <w:rPr>
        <w:rFonts w:ascii="Calibri" w:hAnsi="Calibri" w:hint="default"/>
      </w:rPr>
    </w:lvl>
    <w:lvl w:ilvl="1" w:tplc="F3CEAB24">
      <w:start w:val="1"/>
      <w:numFmt w:val="bullet"/>
      <w:lvlText w:val="o"/>
      <w:lvlJc w:val="left"/>
      <w:pPr>
        <w:ind w:left="1440" w:hanging="360"/>
      </w:pPr>
      <w:rPr>
        <w:rFonts w:ascii="Courier New" w:hAnsi="Courier New" w:hint="default"/>
      </w:rPr>
    </w:lvl>
    <w:lvl w:ilvl="2" w:tplc="397EF1F4">
      <w:start w:val="1"/>
      <w:numFmt w:val="bullet"/>
      <w:lvlText w:val=""/>
      <w:lvlJc w:val="left"/>
      <w:pPr>
        <w:ind w:left="2160" w:hanging="360"/>
      </w:pPr>
      <w:rPr>
        <w:rFonts w:ascii="Wingdings" w:hAnsi="Wingdings" w:hint="default"/>
      </w:rPr>
    </w:lvl>
    <w:lvl w:ilvl="3" w:tplc="9D508992">
      <w:start w:val="1"/>
      <w:numFmt w:val="bullet"/>
      <w:lvlText w:val=""/>
      <w:lvlJc w:val="left"/>
      <w:pPr>
        <w:ind w:left="2880" w:hanging="360"/>
      </w:pPr>
      <w:rPr>
        <w:rFonts w:ascii="Symbol" w:hAnsi="Symbol" w:hint="default"/>
      </w:rPr>
    </w:lvl>
    <w:lvl w:ilvl="4" w:tplc="2304DB76">
      <w:start w:val="1"/>
      <w:numFmt w:val="bullet"/>
      <w:lvlText w:val="o"/>
      <w:lvlJc w:val="left"/>
      <w:pPr>
        <w:ind w:left="3600" w:hanging="360"/>
      </w:pPr>
      <w:rPr>
        <w:rFonts w:ascii="Courier New" w:hAnsi="Courier New" w:hint="default"/>
      </w:rPr>
    </w:lvl>
    <w:lvl w:ilvl="5" w:tplc="DB6667D6">
      <w:start w:val="1"/>
      <w:numFmt w:val="bullet"/>
      <w:lvlText w:val=""/>
      <w:lvlJc w:val="left"/>
      <w:pPr>
        <w:ind w:left="4320" w:hanging="360"/>
      </w:pPr>
      <w:rPr>
        <w:rFonts w:ascii="Wingdings" w:hAnsi="Wingdings" w:hint="default"/>
      </w:rPr>
    </w:lvl>
    <w:lvl w:ilvl="6" w:tplc="EDD6B424">
      <w:start w:val="1"/>
      <w:numFmt w:val="bullet"/>
      <w:lvlText w:val=""/>
      <w:lvlJc w:val="left"/>
      <w:pPr>
        <w:ind w:left="5040" w:hanging="360"/>
      </w:pPr>
      <w:rPr>
        <w:rFonts w:ascii="Symbol" w:hAnsi="Symbol" w:hint="default"/>
      </w:rPr>
    </w:lvl>
    <w:lvl w:ilvl="7" w:tplc="389872D6">
      <w:start w:val="1"/>
      <w:numFmt w:val="bullet"/>
      <w:lvlText w:val="o"/>
      <w:lvlJc w:val="left"/>
      <w:pPr>
        <w:ind w:left="5760" w:hanging="360"/>
      </w:pPr>
      <w:rPr>
        <w:rFonts w:ascii="Courier New" w:hAnsi="Courier New" w:hint="default"/>
      </w:rPr>
    </w:lvl>
    <w:lvl w:ilvl="8" w:tplc="06F0A904">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EE"/>
    <w:rsid w:val="0007597E"/>
    <w:rsid w:val="00156F9A"/>
    <w:rsid w:val="001B7D84"/>
    <w:rsid w:val="002B0C0F"/>
    <w:rsid w:val="002C6B97"/>
    <w:rsid w:val="003977EE"/>
    <w:rsid w:val="00454037"/>
    <w:rsid w:val="004C7809"/>
    <w:rsid w:val="00501620"/>
    <w:rsid w:val="00585858"/>
    <w:rsid w:val="006347E3"/>
    <w:rsid w:val="006669EA"/>
    <w:rsid w:val="007407ED"/>
    <w:rsid w:val="00930D06"/>
    <w:rsid w:val="009A46E4"/>
    <w:rsid w:val="00A31C2C"/>
    <w:rsid w:val="00A71E6A"/>
    <w:rsid w:val="00A913F8"/>
    <w:rsid w:val="00BC5B23"/>
    <w:rsid w:val="00BD3B50"/>
    <w:rsid w:val="00C7739D"/>
    <w:rsid w:val="00CF6307"/>
    <w:rsid w:val="00D7617C"/>
    <w:rsid w:val="00F46992"/>
    <w:rsid w:val="00F94C80"/>
    <w:rsid w:val="00F94F61"/>
    <w:rsid w:val="00FF13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258B"/>
  <w15:chartTrackingRefBased/>
  <w15:docId w15:val="{24317C25-BB2F-490A-9DF3-3611B7A2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2C6B97"/>
    <w:pPr>
      <w:spacing w:line="252" w:lineRule="auto"/>
    </w:pPr>
    <w:rPr>
      <w:rFonts w:ascii="Calibri" w:hAnsi="Calibri" w:cs="Calibri"/>
      <w:lang w:eastAsia="fr-FR"/>
    </w:r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BD3B50"/>
    <w:pPr>
      <w:ind w:left="720"/>
      <w:contextualSpacing/>
    </w:p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link w:val="Paragraphedeliste"/>
    <w:uiPriority w:val="34"/>
    <w:qFormat/>
    <w:locked/>
    <w:rsid w:val="009A46E4"/>
  </w:style>
  <w:style w:type="character" w:styleId="Lienhypertexte">
    <w:name w:val="Hyperlink"/>
    <w:basedOn w:val="Policepardfaut"/>
    <w:uiPriority w:val="99"/>
    <w:semiHidden/>
    <w:unhideWhenUsed/>
    <w:rsid w:val="00156F9A"/>
    <w:rPr>
      <w:color w:val="0563C1"/>
      <w:u w:val="single"/>
    </w:rPr>
  </w:style>
  <w:style w:type="paragraph" w:customStyle="1" w:styleId="xmsolistparagraph">
    <w:name w:val="x_msolistparagraph"/>
    <w:basedOn w:val="Normal"/>
    <w:rsid w:val="00BC5B23"/>
    <w:pPr>
      <w:spacing w:before="100" w:beforeAutospacing="1" w:after="100" w:afterAutospacing="1" w:line="240" w:lineRule="auto"/>
    </w:pPr>
    <w:rPr>
      <w:rFonts w:ascii="Calibri" w:hAnsi="Calibri" w:cs="Calibri"/>
      <w:lang w:eastAsia="fr-FR"/>
    </w:rPr>
  </w:style>
  <w:style w:type="table" w:styleId="Grilledutableau">
    <w:name w:val="Table Grid"/>
    <w:basedOn w:val="TableauNormal"/>
    <w:uiPriority w:val="39"/>
    <w:rsid w:val="00075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47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7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73232">
      <w:bodyDiv w:val="1"/>
      <w:marLeft w:val="0"/>
      <w:marRight w:val="0"/>
      <w:marTop w:val="0"/>
      <w:marBottom w:val="0"/>
      <w:divBdr>
        <w:top w:val="none" w:sz="0" w:space="0" w:color="auto"/>
        <w:left w:val="none" w:sz="0" w:space="0" w:color="auto"/>
        <w:bottom w:val="none" w:sz="0" w:space="0" w:color="auto"/>
        <w:right w:val="none" w:sz="0" w:space="0" w:color="auto"/>
      </w:divBdr>
    </w:div>
    <w:div w:id="453448005">
      <w:bodyDiv w:val="1"/>
      <w:marLeft w:val="0"/>
      <w:marRight w:val="0"/>
      <w:marTop w:val="0"/>
      <w:marBottom w:val="0"/>
      <w:divBdr>
        <w:top w:val="none" w:sz="0" w:space="0" w:color="auto"/>
        <w:left w:val="none" w:sz="0" w:space="0" w:color="auto"/>
        <w:bottom w:val="none" w:sz="0" w:space="0" w:color="auto"/>
        <w:right w:val="none" w:sz="0" w:space="0" w:color="auto"/>
      </w:divBdr>
    </w:div>
    <w:div w:id="856312108">
      <w:bodyDiv w:val="1"/>
      <w:marLeft w:val="0"/>
      <w:marRight w:val="0"/>
      <w:marTop w:val="0"/>
      <w:marBottom w:val="0"/>
      <w:divBdr>
        <w:top w:val="none" w:sz="0" w:space="0" w:color="auto"/>
        <w:left w:val="none" w:sz="0" w:space="0" w:color="auto"/>
        <w:bottom w:val="none" w:sz="0" w:space="0" w:color="auto"/>
        <w:right w:val="none" w:sz="0" w:space="0" w:color="auto"/>
      </w:divBdr>
    </w:div>
    <w:div w:id="894699632">
      <w:bodyDiv w:val="1"/>
      <w:marLeft w:val="0"/>
      <w:marRight w:val="0"/>
      <w:marTop w:val="0"/>
      <w:marBottom w:val="0"/>
      <w:divBdr>
        <w:top w:val="none" w:sz="0" w:space="0" w:color="auto"/>
        <w:left w:val="none" w:sz="0" w:space="0" w:color="auto"/>
        <w:bottom w:val="none" w:sz="0" w:space="0" w:color="auto"/>
        <w:right w:val="none" w:sz="0" w:space="0" w:color="auto"/>
      </w:divBdr>
    </w:div>
    <w:div w:id="1095595928">
      <w:bodyDiv w:val="1"/>
      <w:marLeft w:val="0"/>
      <w:marRight w:val="0"/>
      <w:marTop w:val="0"/>
      <w:marBottom w:val="0"/>
      <w:divBdr>
        <w:top w:val="none" w:sz="0" w:space="0" w:color="auto"/>
        <w:left w:val="none" w:sz="0" w:space="0" w:color="auto"/>
        <w:bottom w:val="none" w:sz="0" w:space="0" w:color="auto"/>
        <w:right w:val="none" w:sz="0" w:space="0" w:color="auto"/>
      </w:divBdr>
    </w:div>
    <w:div w:id="1158573012">
      <w:bodyDiv w:val="1"/>
      <w:marLeft w:val="0"/>
      <w:marRight w:val="0"/>
      <w:marTop w:val="0"/>
      <w:marBottom w:val="0"/>
      <w:divBdr>
        <w:top w:val="none" w:sz="0" w:space="0" w:color="auto"/>
        <w:left w:val="none" w:sz="0" w:space="0" w:color="auto"/>
        <w:bottom w:val="none" w:sz="0" w:space="0" w:color="auto"/>
        <w:right w:val="none" w:sz="0" w:space="0" w:color="auto"/>
      </w:divBdr>
    </w:div>
    <w:div w:id="1780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9.png@01D8EF7D.F647CA00" TargetMode="External"/><Relationship Id="rId3" Type="http://schemas.openxmlformats.org/officeDocument/2006/relationships/settings" Target="settings.xml"/><Relationship Id="rId7" Type="http://schemas.openxmlformats.org/officeDocument/2006/relationships/image" Target="cid:image002.png@01D8EA12.11279FB0"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07.png@01D8EF7D.F647CA0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cid:image003.jpg@01D8EA12.11279FB0" TargetMode="External"/><Relationship Id="rId14"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4</Pages>
  <Words>1058</Words>
  <Characters>5821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TIRILLY Emmanuelle</cp:lastModifiedBy>
  <cp:revision>13</cp:revision>
  <cp:lastPrinted>2022-11-04T08:25:00Z</cp:lastPrinted>
  <dcterms:created xsi:type="dcterms:W3CDTF">2022-10-27T16:30:00Z</dcterms:created>
  <dcterms:modified xsi:type="dcterms:W3CDTF">2022-11-04T13:47:00Z</dcterms:modified>
</cp:coreProperties>
</file>