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5F" w:rsidRDefault="0017155F" w:rsidP="0017155F">
      <w:bookmarkStart w:id="0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02F96F26" wp14:editId="3629C34C">
            <wp:extent cx="5760720" cy="54293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96"/>
        <w:gridCol w:w="3065"/>
      </w:tblGrid>
      <w:tr w:rsidR="0017155F" w:rsidTr="00F970CC">
        <w:trPr>
          <w:trHeight w:val="1440"/>
        </w:trPr>
        <w:tc>
          <w:tcPr>
            <w:tcW w:w="3070" w:type="dxa"/>
          </w:tcPr>
          <w:p w:rsidR="0017155F" w:rsidRDefault="0017155F" w:rsidP="00F970CC">
            <w:r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7B3600D1" wp14:editId="61CA4A55">
                  <wp:extent cx="1145540" cy="1066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17155F" w:rsidRDefault="0017155F" w:rsidP="00F970CC">
            <w:r w:rsidRPr="006B0808">
              <w:rPr>
                <w:noProof/>
                <w:lang w:eastAsia="fr-FR"/>
              </w:rPr>
              <w:drawing>
                <wp:inline distT="0" distB="0" distL="0" distR="0" wp14:anchorId="28929B30" wp14:editId="1B584107">
                  <wp:extent cx="1781175" cy="12477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17155F" w:rsidRDefault="0017155F" w:rsidP="00F970CC"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23C3730D" wp14:editId="1C217478">
                  <wp:extent cx="1771650" cy="850510"/>
                  <wp:effectExtent l="0" t="0" r="0" b="6985"/>
                  <wp:docPr id="4" name="Image 4" descr="Résultat de recherche d'images pour &quot;keolis logo&quot;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keolis logo&quot;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967" cy="85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55F" w:rsidRDefault="0017155F" w:rsidP="0017155F">
      <w:pPr>
        <w:pStyle w:val="wordsection1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7155F" w:rsidRPr="00736E3D" w:rsidRDefault="0017155F" w:rsidP="0017155F">
      <w:pPr>
        <w:pStyle w:val="wordsection1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736E3D">
        <w:rPr>
          <w:rFonts w:ascii="Arial" w:hAnsi="Arial" w:cs="Arial"/>
          <w:b/>
          <w:bCs/>
          <w:sz w:val="28"/>
          <w:szCs w:val="28"/>
        </w:rPr>
        <w:t>Un car 100% Gaz naturel sur la ligne Fécamp-Le Havre</w:t>
      </w:r>
      <w:r w:rsidR="00CE7933">
        <w:rPr>
          <w:rFonts w:ascii="Arial" w:hAnsi="Arial" w:cs="Arial"/>
          <w:b/>
          <w:bCs/>
          <w:sz w:val="28"/>
          <w:szCs w:val="28"/>
        </w:rPr>
        <w:t xml:space="preserve"> du 4 au 24 novembre 2019</w:t>
      </w:r>
    </w:p>
    <w:p w:rsidR="0017155F" w:rsidRDefault="0017155F" w:rsidP="0017155F">
      <w:pPr>
        <w:pStyle w:val="wordsection1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281531" w:rsidRDefault="00281531" w:rsidP="00281531">
      <w:pPr>
        <w:pStyle w:val="wordsection1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81531">
        <w:rPr>
          <w:rFonts w:ascii="Arial" w:hAnsi="Arial" w:cs="Arial"/>
          <w:b/>
          <w:bCs/>
          <w:sz w:val="22"/>
          <w:szCs w:val="22"/>
        </w:rPr>
        <w:t xml:space="preserve">Jusqu’au 24 novembre, un </w:t>
      </w:r>
      <w:r w:rsidR="0017155F" w:rsidRPr="00281531">
        <w:rPr>
          <w:rFonts w:ascii="Arial" w:hAnsi="Arial" w:cs="Arial"/>
          <w:b/>
          <w:bCs/>
          <w:sz w:val="22"/>
          <w:szCs w:val="22"/>
        </w:rPr>
        <w:t xml:space="preserve">car roulant au </w:t>
      </w:r>
      <w:r w:rsidRPr="00281531">
        <w:rPr>
          <w:rFonts w:ascii="Arial" w:hAnsi="Arial" w:cs="Arial"/>
          <w:b/>
          <w:bCs/>
          <w:sz w:val="22"/>
          <w:szCs w:val="22"/>
        </w:rPr>
        <w:t>GNV (</w:t>
      </w:r>
      <w:r w:rsidR="0017155F" w:rsidRPr="00281531">
        <w:rPr>
          <w:rFonts w:ascii="Arial" w:hAnsi="Arial" w:cs="Arial"/>
          <w:b/>
          <w:bCs/>
          <w:sz w:val="22"/>
          <w:szCs w:val="22"/>
        </w:rPr>
        <w:t>gaz naturel</w:t>
      </w:r>
      <w:r w:rsidRPr="00281531">
        <w:rPr>
          <w:rFonts w:ascii="Arial" w:hAnsi="Arial" w:cs="Arial"/>
          <w:b/>
          <w:bCs/>
          <w:sz w:val="22"/>
          <w:szCs w:val="22"/>
        </w:rPr>
        <w:t xml:space="preserve"> pour véhicules)</w:t>
      </w:r>
      <w:r w:rsidR="0017155F" w:rsidRPr="002815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1531">
        <w:rPr>
          <w:rFonts w:ascii="Arial" w:hAnsi="Arial" w:cs="Arial"/>
          <w:b/>
          <w:bCs/>
          <w:sz w:val="22"/>
          <w:szCs w:val="22"/>
        </w:rPr>
        <w:t xml:space="preserve">circule </w:t>
      </w:r>
      <w:r w:rsidR="0017155F" w:rsidRPr="00281531">
        <w:rPr>
          <w:rFonts w:ascii="Arial" w:hAnsi="Arial" w:cs="Arial"/>
          <w:b/>
          <w:bCs/>
          <w:sz w:val="22"/>
          <w:szCs w:val="22"/>
        </w:rPr>
        <w:t xml:space="preserve">sur la ligne routière </w:t>
      </w:r>
      <w:r w:rsidRPr="00281531">
        <w:rPr>
          <w:rFonts w:ascii="Arial" w:hAnsi="Arial" w:cs="Arial"/>
          <w:b/>
          <w:bCs/>
          <w:sz w:val="22"/>
          <w:szCs w:val="22"/>
        </w:rPr>
        <w:t xml:space="preserve">régionale n°23 </w:t>
      </w:r>
      <w:r w:rsidR="0017155F" w:rsidRPr="00281531">
        <w:rPr>
          <w:rFonts w:ascii="Arial" w:hAnsi="Arial" w:cs="Arial"/>
          <w:b/>
          <w:bCs/>
          <w:sz w:val="22"/>
          <w:szCs w:val="22"/>
        </w:rPr>
        <w:t>entre Fécamp et Le Havre</w:t>
      </w:r>
      <w:r w:rsidR="00F406FB">
        <w:rPr>
          <w:rFonts w:ascii="Arial" w:hAnsi="Arial" w:cs="Arial"/>
          <w:b/>
          <w:bCs/>
          <w:sz w:val="22"/>
          <w:szCs w:val="22"/>
        </w:rPr>
        <w:t xml:space="preserve">, en remplacement du car thermique habituel. </w:t>
      </w:r>
      <w:r w:rsidRPr="0028153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E7933" w:rsidRPr="00281531" w:rsidRDefault="00CE7933" w:rsidP="00CE7933">
      <w:pPr>
        <w:pStyle w:val="wordsection1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E7933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n expérimentant ce car GNV depuis le 4</w:t>
      </w:r>
      <w:r w:rsidRPr="00CE7933">
        <w:rPr>
          <w:rFonts w:ascii="Arial" w:hAnsi="Arial" w:cs="Arial"/>
          <w:b/>
          <w:bCs/>
          <w:sz w:val="22"/>
          <w:szCs w:val="22"/>
        </w:rPr>
        <w:t xml:space="preserve"> novembre, la Région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E7933">
        <w:rPr>
          <w:rFonts w:ascii="Arial" w:hAnsi="Arial" w:cs="Arial"/>
          <w:b/>
          <w:bCs/>
          <w:sz w:val="22"/>
          <w:szCs w:val="22"/>
        </w:rPr>
        <w:t xml:space="preserve">Normandie, </w:t>
      </w:r>
      <w:proofErr w:type="spellStart"/>
      <w:r w:rsidRPr="00CE7933">
        <w:rPr>
          <w:rFonts w:ascii="Arial" w:hAnsi="Arial" w:cs="Arial"/>
          <w:b/>
          <w:bCs/>
          <w:sz w:val="22"/>
          <w:szCs w:val="22"/>
        </w:rPr>
        <w:t>Keolis</w:t>
      </w:r>
      <w:proofErr w:type="spellEnd"/>
      <w:r w:rsidRPr="00CE7933">
        <w:rPr>
          <w:rFonts w:ascii="Arial" w:hAnsi="Arial" w:cs="Arial"/>
          <w:b/>
          <w:bCs/>
          <w:sz w:val="22"/>
          <w:szCs w:val="22"/>
        </w:rPr>
        <w:t xml:space="preserve"> et GRDF innovent pour permettre aux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E7933">
        <w:rPr>
          <w:rFonts w:ascii="Arial" w:hAnsi="Arial" w:cs="Arial"/>
          <w:b/>
          <w:bCs/>
          <w:sz w:val="22"/>
          <w:szCs w:val="22"/>
        </w:rPr>
        <w:t>clients de la ligne de voyager dans les mêmes conditions 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E7933">
        <w:rPr>
          <w:rFonts w:ascii="Arial" w:hAnsi="Arial" w:cs="Arial"/>
          <w:b/>
          <w:bCs/>
          <w:sz w:val="22"/>
          <w:szCs w:val="22"/>
        </w:rPr>
        <w:t>confort et de services, tout en assurant un meilleur respect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E7933">
        <w:rPr>
          <w:rFonts w:ascii="Arial" w:hAnsi="Arial" w:cs="Arial"/>
          <w:b/>
          <w:bCs/>
          <w:sz w:val="22"/>
          <w:szCs w:val="22"/>
        </w:rPr>
        <w:t>de l’environnement.</w:t>
      </w:r>
    </w:p>
    <w:p w:rsidR="00326C41" w:rsidRDefault="00281531" w:rsidP="00F406FB">
      <w:pPr>
        <w:pStyle w:val="wordsection1"/>
        <w:jc w:val="both"/>
        <w:textAlignment w:val="baseline"/>
        <w:rPr>
          <w:rFonts w:ascii="Arial" w:eastAsia="Calibri" w:hAnsi="Arial" w:cs="Arial"/>
        </w:rPr>
      </w:pPr>
      <w:r w:rsidRPr="00281531">
        <w:rPr>
          <w:rFonts w:ascii="Arial" w:hAnsi="Arial" w:cs="Arial"/>
          <w:b/>
          <w:bCs/>
          <w:sz w:val="22"/>
          <w:szCs w:val="22"/>
        </w:rPr>
        <w:t xml:space="preserve">Chef de file climat-air-énergie, </w:t>
      </w:r>
      <w:r w:rsidR="00CE7933">
        <w:rPr>
          <w:rFonts w:ascii="Arial" w:hAnsi="Arial" w:cs="Arial"/>
          <w:b/>
          <w:bCs/>
          <w:sz w:val="22"/>
          <w:szCs w:val="22"/>
        </w:rPr>
        <w:t xml:space="preserve">et dans le cadre de la compétence transport qui lui a été transféré en 2017, </w:t>
      </w:r>
      <w:r w:rsidRPr="00281531">
        <w:rPr>
          <w:rFonts w:ascii="Arial" w:eastAsia="Calibri" w:hAnsi="Arial" w:cs="Arial"/>
          <w:b/>
          <w:sz w:val="22"/>
          <w:szCs w:val="22"/>
        </w:rPr>
        <w:t xml:space="preserve">la Région Normandie </w:t>
      </w:r>
      <w:r w:rsidR="00326C41" w:rsidRPr="00281531">
        <w:rPr>
          <w:rFonts w:ascii="Arial" w:eastAsia="Calibri" w:hAnsi="Arial" w:cs="Arial"/>
          <w:b/>
          <w:sz w:val="22"/>
          <w:szCs w:val="22"/>
        </w:rPr>
        <w:t xml:space="preserve">expérimente des énergies alternatives pour les autocars affectés à </w:t>
      </w:r>
      <w:r w:rsidR="00F406FB">
        <w:rPr>
          <w:rFonts w:ascii="Arial" w:eastAsia="Calibri" w:hAnsi="Arial" w:cs="Arial"/>
          <w:b/>
          <w:sz w:val="22"/>
          <w:szCs w:val="22"/>
        </w:rPr>
        <w:t xml:space="preserve">ses lignes de transport </w:t>
      </w:r>
      <w:r w:rsidR="00F406FB" w:rsidRPr="00F406FB">
        <w:rPr>
          <w:rFonts w:ascii="Arial" w:eastAsia="Calibri" w:hAnsi="Arial" w:cs="Arial"/>
          <w:b/>
          <w:sz w:val="22"/>
          <w:szCs w:val="22"/>
        </w:rPr>
        <w:t>public</w:t>
      </w:r>
      <w:r w:rsidR="00CE7933">
        <w:rPr>
          <w:rFonts w:ascii="Arial" w:eastAsia="Calibri" w:hAnsi="Arial" w:cs="Arial"/>
          <w:b/>
          <w:sz w:val="22"/>
          <w:szCs w:val="22"/>
        </w:rPr>
        <w:t>. U</w:t>
      </w:r>
      <w:r w:rsidR="00326C41" w:rsidRPr="00F406FB">
        <w:rPr>
          <w:rFonts w:ascii="Arial" w:eastAsia="Calibri" w:hAnsi="Arial" w:cs="Arial"/>
          <w:b/>
          <w:sz w:val="22"/>
          <w:szCs w:val="22"/>
        </w:rPr>
        <w:t xml:space="preserve">n autocar électrique avait </w:t>
      </w:r>
      <w:r w:rsidRPr="00F406FB">
        <w:rPr>
          <w:rFonts w:ascii="Arial" w:eastAsia="Calibri" w:hAnsi="Arial" w:cs="Arial"/>
          <w:b/>
          <w:sz w:val="22"/>
          <w:szCs w:val="22"/>
        </w:rPr>
        <w:t xml:space="preserve">déjà </w:t>
      </w:r>
      <w:r w:rsidR="00F406FB" w:rsidRPr="00F406FB">
        <w:rPr>
          <w:rFonts w:ascii="Arial" w:eastAsia="Calibri" w:hAnsi="Arial" w:cs="Arial"/>
          <w:b/>
          <w:sz w:val="22"/>
          <w:szCs w:val="22"/>
        </w:rPr>
        <w:t>été testé</w:t>
      </w:r>
      <w:r w:rsidR="00326C41" w:rsidRPr="00F406FB">
        <w:rPr>
          <w:rFonts w:ascii="Arial" w:eastAsia="Calibri" w:hAnsi="Arial" w:cs="Arial"/>
          <w:b/>
          <w:sz w:val="22"/>
          <w:szCs w:val="22"/>
        </w:rPr>
        <w:t xml:space="preserve"> </w:t>
      </w:r>
      <w:r w:rsidR="00CE7933">
        <w:rPr>
          <w:rFonts w:ascii="Arial" w:eastAsia="Calibri" w:hAnsi="Arial" w:cs="Arial"/>
          <w:b/>
          <w:sz w:val="22"/>
          <w:szCs w:val="22"/>
        </w:rPr>
        <w:t xml:space="preserve">avec succès </w:t>
      </w:r>
      <w:r w:rsidR="00326C41" w:rsidRPr="00F406FB">
        <w:rPr>
          <w:rFonts w:ascii="Arial" w:eastAsia="Calibri" w:hAnsi="Arial" w:cs="Arial"/>
          <w:b/>
          <w:sz w:val="22"/>
          <w:szCs w:val="22"/>
        </w:rPr>
        <w:t xml:space="preserve">sur la ligne régionale Rouen – Evreux en juin </w:t>
      </w:r>
      <w:r w:rsidR="00CE7933">
        <w:rPr>
          <w:rFonts w:ascii="Arial" w:eastAsia="Calibri" w:hAnsi="Arial" w:cs="Arial"/>
          <w:b/>
          <w:sz w:val="22"/>
          <w:szCs w:val="22"/>
        </w:rPr>
        <w:t>2018</w:t>
      </w:r>
      <w:r w:rsidR="00326C41" w:rsidRPr="00F406FB">
        <w:rPr>
          <w:rFonts w:ascii="Arial" w:eastAsia="Calibri" w:hAnsi="Arial" w:cs="Arial"/>
          <w:b/>
          <w:sz w:val="22"/>
          <w:szCs w:val="22"/>
        </w:rPr>
        <w:t>.</w:t>
      </w:r>
      <w:r w:rsidR="00326C41">
        <w:rPr>
          <w:rFonts w:ascii="Arial" w:eastAsia="Calibri" w:hAnsi="Arial" w:cs="Arial"/>
        </w:rPr>
        <w:t xml:space="preserve"> </w:t>
      </w:r>
    </w:p>
    <w:p w:rsidR="00CE7933" w:rsidRDefault="00CE7933" w:rsidP="00F406FB">
      <w:pPr>
        <w:pStyle w:val="wordsection1"/>
        <w:jc w:val="both"/>
        <w:textAlignment w:val="baseline"/>
        <w:rPr>
          <w:rFonts w:ascii="Arial" w:eastAsia="Calibri" w:hAnsi="Arial" w:cs="Arial"/>
        </w:rPr>
      </w:pPr>
    </w:p>
    <w:p w:rsidR="00B3588C" w:rsidRDefault="00F406FB" w:rsidP="00CE7933">
      <w:pPr>
        <w:spacing w:after="0" w:line="240" w:lineRule="auto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 xml:space="preserve">La </w:t>
      </w:r>
      <w:r w:rsidR="00B3588C" w:rsidRPr="00CE7933">
        <w:rPr>
          <w:rFonts w:ascii="Arial" w:eastAsia="Calibri" w:hAnsi="Arial" w:cs="Arial"/>
        </w:rPr>
        <w:t>technologie</w:t>
      </w:r>
      <w:r w:rsidRPr="00CE7933">
        <w:rPr>
          <w:rFonts w:ascii="Arial" w:eastAsia="Calibri" w:hAnsi="Arial" w:cs="Arial"/>
        </w:rPr>
        <w:t xml:space="preserve"> GNV</w:t>
      </w:r>
      <w:r w:rsidR="00B3588C" w:rsidRPr="00CE7933">
        <w:rPr>
          <w:rFonts w:ascii="Arial" w:eastAsia="Calibri" w:hAnsi="Arial" w:cs="Arial"/>
        </w:rPr>
        <w:t>, mâture techniquement et économiquement, constitue aujourd’hui une véritabl</w:t>
      </w:r>
      <w:r w:rsidRPr="00CE7933">
        <w:rPr>
          <w:rFonts w:ascii="Arial" w:eastAsia="Calibri" w:hAnsi="Arial" w:cs="Arial"/>
        </w:rPr>
        <w:t xml:space="preserve">e solution de mobilité durable. </w:t>
      </w:r>
    </w:p>
    <w:p w:rsidR="00CE7933" w:rsidRPr="00CE7933" w:rsidRDefault="00CE7933" w:rsidP="00CE7933">
      <w:pPr>
        <w:spacing w:after="0" w:line="240" w:lineRule="auto"/>
        <w:jc w:val="both"/>
        <w:rPr>
          <w:rFonts w:ascii="Arial" w:eastAsia="Calibri" w:hAnsi="Arial" w:cs="Arial"/>
        </w:rPr>
      </w:pPr>
    </w:p>
    <w:p w:rsidR="00B3588C" w:rsidRPr="00CE7933" w:rsidRDefault="00B3588C" w:rsidP="00CE793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CE7933">
        <w:rPr>
          <w:rFonts w:ascii="Arial" w:eastAsia="Calibri" w:hAnsi="Arial" w:cs="Arial"/>
          <w:b/>
        </w:rPr>
        <w:t>Plus respectueuse pour la santé</w:t>
      </w:r>
    </w:p>
    <w:p w:rsidR="00B3588C" w:rsidRPr="00CE7933" w:rsidRDefault="00B3588C" w:rsidP="00CE7933">
      <w:pPr>
        <w:numPr>
          <w:ilvl w:val="1"/>
          <w:numId w:val="3"/>
        </w:numPr>
        <w:spacing w:after="0" w:line="240" w:lineRule="auto"/>
        <w:ind w:left="397" w:hanging="357"/>
        <w:jc w:val="both"/>
        <w:rPr>
          <w:rFonts w:ascii="Arial" w:eastAsia="Calibri" w:hAnsi="Arial" w:cs="Arial"/>
          <w:i/>
        </w:rPr>
      </w:pPr>
      <w:r w:rsidRPr="00CE7933">
        <w:rPr>
          <w:rFonts w:ascii="Arial" w:eastAsia="Calibri" w:hAnsi="Arial" w:cs="Arial"/>
        </w:rPr>
        <w:t xml:space="preserve">Quasiment aucune émission de particule fine (-95% par rapport au diesel) - </w:t>
      </w:r>
      <w:r w:rsidRPr="00CE7933">
        <w:rPr>
          <w:rFonts w:ascii="Arial" w:eastAsia="Calibri" w:hAnsi="Arial" w:cs="Arial"/>
          <w:i/>
        </w:rPr>
        <w:t>source GRDF</w:t>
      </w:r>
    </w:p>
    <w:p w:rsidR="00B3588C" w:rsidRPr="00CE7933" w:rsidRDefault="00B3588C" w:rsidP="00CE7933">
      <w:pPr>
        <w:numPr>
          <w:ilvl w:val="1"/>
          <w:numId w:val="3"/>
        </w:numPr>
        <w:spacing w:after="0" w:line="240" w:lineRule="auto"/>
        <w:ind w:left="397" w:hanging="357"/>
        <w:jc w:val="both"/>
        <w:rPr>
          <w:rFonts w:ascii="Arial" w:eastAsia="Calibri" w:hAnsi="Arial" w:cs="Arial"/>
          <w:i/>
        </w:rPr>
      </w:pPr>
      <w:r w:rsidRPr="00CE7933">
        <w:rPr>
          <w:rFonts w:ascii="Arial" w:eastAsia="Calibri" w:hAnsi="Arial" w:cs="Arial"/>
        </w:rPr>
        <w:t>Une émission d’oxydes d’azote (</w:t>
      </w:r>
      <w:proofErr w:type="spellStart"/>
      <w:r w:rsidRPr="00CE7933">
        <w:rPr>
          <w:rFonts w:ascii="Arial" w:eastAsia="Calibri" w:hAnsi="Arial" w:cs="Arial"/>
        </w:rPr>
        <w:t>NOx</w:t>
      </w:r>
      <w:proofErr w:type="spellEnd"/>
      <w:r w:rsidRPr="00CE7933">
        <w:rPr>
          <w:rFonts w:ascii="Arial" w:eastAsia="Calibri" w:hAnsi="Arial" w:cs="Arial"/>
        </w:rPr>
        <w:t xml:space="preserve">) deux fois inférieure à la norme Euro VI - </w:t>
      </w:r>
      <w:r w:rsidRPr="00CE7933">
        <w:rPr>
          <w:rFonts w:ascii="Arial" w:eastAsia="Calibri" w:hAnsi="Arial" w:cs="Arial"/>
          <w:i/>
        </w:rPr>
        <w:t>source GRDF</w:t>
      </w:r>
    </w:p>
    <w:p w:rsidR="00B3588C" w:rsidRPr="00CE7933" w:rsidRDefault="00B3588C" w:rsidP="00CE7933">
      <w:pPr>
        <w:numPr>
          <w:ilvl w:val="1"/>
          <w:numId w:val="3"/>
        </w:numPr>
        <w:spacing w:after="0" w:line="240" w:lineRule="auto"/>
        <w:ind w:left="397" w:hanging="357"/>
        <w:jc w:val="both"/>
        <w:rPr>
          <w:rFonts w:ascii="Arial" w:eastAsia="Calibri" w:hAnsi="Arial" w:cs="Arial"/>
          <w:i/>
        </w:rPr>
      </w:pPr>
      <w:r w:rsidRPr="00CE7933">
        <w:rPr>
          <w:rFonts w:ascii="Arial" w:eastAsia="Calibri" w:hAnsi="Arial" w:cs="Arial"/>
        </w:rPr>
        <w:t>Diminution de 85% de formation d’ozone par rapport au gazole</w:t>
      </w:r>
      <w:r w:rsidRPr="00CE7933">
        <w:rPr>
          <w:rFonts w:ascii="Arial" w:eastAsia="Calibri" w:hAnsi="Arial" w:cs="Arial"/>
          <w:i/>
        </w:rPr>
        <w:t xml:space="preserve"> – source Gaz-Mobilité</w:t>
      </w:r>
    </w:p>
    <w:p w:rsidR="00B3588C" w:rsidRPr="00CE7933" w:rsidRDefault="00B3588C" w:rsidP="00CE7933">
      <w:pPr>
        <w:numPr>
          <w:ilvl w:val="1"/>
          <w:numId w:val="3"/>
        </w:numPr>
        <w:spacing w:after="0" w:line="240" w:lineRule="auto"/>
        <w:ind w:left="397" w:hanging="357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 xml:space="preserve">Moins de nuisances sonores (pour un camion, nombre de décibels divisé par 2 voire 3 et sonorité plus grave mieux assimilée par l’oreille humaine - </w:t>
      </w:r>
      <w:r w:rsidRPr="00CE7933">
        <w:rPr>
          <w:rFonts w:ascii="Arial" w:eastAsia="Calibri" w:hAnsi="Arial" w:cs="Arial"/>
          <w:i/>
        </w:rPr>
        <w:t xml:space="preserve">source </w:t>
      </w:r>
      <w:proofErr w:type="spellStart"/>
      <w:r w:rsidRPr="00CE7933">
        <w:rPr>
          <w:rFonts w:ascii="Arial" w:eastAsia="Calibri" w:hAnsi="Arial" w:cs="Arial"/>
          <w:i/>
        </w:rPr>
        <w:t>Ademe</w:t>
      </w:r>
      <w:proofErr w:type="spellEnd"/>
      <w:r w:rsidRPr="00CE7933">
        <w:rPr>
          <w:rFonts w:ascii="Arial" w:eastAsia="Calibri" w:hAnsi="Arial" w:cs="Arial"/>
        </w:rPr>
        <w:t>)</w:t>
      </w:r>
    </w:p>
    <w:p w:rsidR="00B3588C" w:rsidRPr="00CE7933" w:rsidRDefault="00B3588C" w:rsidP="00CE7933">
      <w:pPr>
        <w:spacing w:after="0" w:line="240" w:lineRule="auto"/>
        <w:jc w:val="both"/>
        <w:rPr>
          <w:rFonts w:ascii="Arial" w:eastAsia="Calibri" w:hAnsi="Arial" w:cs="Arial"/>
        </w:rPr>
      </w:pPr>
    </w:p>
    <w:p w:rsidR="00B3588C" w:rsidRPr="00CE7933" w:rsidRDefault="00B3588C" w:rsidP="00CE793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CE7933">
        <w:rPr>
          <w:rFonts w:ascii="Arial" w:eastAsia="Calibri" w:hAnsi="Arial" w:cs="Arial"/>
          <w:b/>
        </w:rPr>
        <w:t>Plus respectueuse</w:t>
      </w:r>
      <w:r w:rsidR="00F406FB" w:rsidRPr="00CE7933">
        <w:rPr>
          <w:rFonts w:ascii="Arial" w:eastAsia="Calibri" w:hAnsi="Arial" w:cs="Arial"/>
          <w:b/>
        </w:rPr>
        <w:t xml:space="preserve"> pour l’environnement</w:t>
      </w:r>
    </w:p>
    <w:p w:rsidR="00B3588C" w:rsidRPr="00CE7933" w:rsidRDefault="00CE7933" w:rsidP="00CE7933">
      <w:pPr>
        <w:numPr>
          <w:ilvl w:val="1"/>
          <w:numId w:val="5"/>
        </w:numPr>
        <w:spacing w:after="0" w:line="240" w:lineRule="auto"/>
        <w:ind w:left="39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Sur un poids lourd</w:t>
      </w:r>
      <w:r w:rsidR="00B3588C" w:rsidRPr="00CE7933">
        <w:rPr>
          <w:rFonts w:ascii="Arial" w:eastAsia="Calibri" w:hAnsi="Arial" w:cs="Arial"/>
        </w:rPr>
        <w:t>, du puits à la roue, la réduction du CO</w:t>
      </w:r>
      <w:r w:rsidR="00B3588C" w:rsidRPr="00CE7933">
        <w:rPr>
          <w:rFonts w:ascii="Arial" w:eastAsia="Calibri" w:hAnsi="Arial" w:cs="Arial"/>
          <w:vertAlign w:val="subscript"/>
        </w:rPr>
        <w:t>2</w:t>
      </w:r>
      <w:r w:rsidR="00B3588C" w:rsidRPr="00CE7933">
        <w:rPr>
          <w:rFonts w:ascii="Arial" w:eastAsia="Calibri" w:hAnsi="Arial" w:cs="Arial"/>
        </w:rPr>
        <w:t xml:space="preserve"> est de l’ordre de 15% par rapport à son équivalent diesel (</w:t>
      </w:r>
      <w:r w:rsidR="00B3588C" w:rsidRPr="00CE7933">
        <w:rPr>
          <w:rFonts w:ascii="Arial" w:eastAsia="Calibri" w:hAnsi="Arial" w:cs="Arial"/>
          <w:i/>
        </w:rPr>
        <w:t>source Gaz-Mobilité</w:t>
      </w:r>
      <w:r w:rsidR="00B3588C" w:rsidRPr="00CE7933">
        <w:rPr>
          <w:rFonts w:ascii="Arial" w:eastAsia="Calibri" w:hAnsi="Arial" w:cs="Arial"/>
        </w:rPr>
        <w:t>)</w:t>
      </w:r>
    </w:p>
    <w:p w:rsidR="00B3588C" w:rsidRPr="00CE7933" w:rsidRDefault="00B3588C" w:rsidP="00CE7933">
      <w:pPr>
        <w:numPr>
          <w:ilvl w:val="1"/>
          <w:numId w:val="5"/>
        </w:numPr>
        <w:spacing w:after="0" w:line="240" w:lineRule="auto"/>
        <w:ind w:left="397" w:hanging="357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>Pas d’odeur ni de fumée</w:t>
      </w:r>
    </w:p>
    <w:p w:rsidR="00F406FB" w:rsidRPr="00CE7933" w:rsidRDefault="00F406FB" w:rsidP="00CE793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3588C" w:rsidRPr="00CE7933" w:rsidRDefault="00F406FB" w:rsidP="00CE793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CE7933">
        <w:rPr>
          <w:rFonts w:ascii="Arial" w:eastAsia="Calibri" w:hAnsi="Arial" w:cs="Arial"/>
          <w:b/>
        </w:rPr>
        <w:t>De meilleures caractéristiques techniques</w:t>
      </w:r>
    </w:p>
    <w:p w:rsidR="00B3588C" w:rsidRPr="00CE7933" w:rsidRDefault="00F406FB" w:rsidP="00CE7933">
      <w:pPr>
        <w:spacing w:after="0" w:line="240" w:lineRule="auto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 xml:space="preserve">-    </w:t>
      </w:r>
      <w:r w:rsidR="00B3588C" w:rsidRPr="00CE7933">
        <w:rPr>
          <w:rFonts w:ascii="Arial" w:eastAsia="Calibri" w:hAnsi="Arial" w:cs="Arial"/>
        </w:rPr>
        <w:t>Une autonomie largement supérieure à l’électrique et s’approchant du diesel</w:t>
      </w:r>
    </w:p>
    <w:p w:rsidR="00B3588C" w:rsidRPr="00CE7933" w:rsidRDefault="00F406FB" w:rsidP="00CE7933">
      <w:pPr>
        <w:spacing w:after="0" w:line="240" w:lineRule="auto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 xml:space="preserve">-    </w:t>
      </w:r>
      <w:r w:rsidR="00B3588C" w:rsidRPr="00CE7933">
        <w:rPr>
          <w:rFonts w:ascii="Arial" w:eastAsia="Calibri" w:hAnsi="Arial" w:cs="Arial"/>
        </w:rPr>
        <w:t xml:space="preserve">Un carburant économique : le coût du GNV au kilomètre parcouru est aujourd’hui inférieur </w:t>
      </w:r>
      <w:r w:rsidRPr="00CE7933">
        <w:rPr>
          <w:rFonts w:ascii="Arial" w:eastAsia="Calibri" w:hAnsi="Arial" w:cs="Arial"/>
        </w:rPr>
        <w:t xml:space="preserve">        </w:t>
      </w:r>
      <w:r w:rsidR="00B3588C" w:rsidRPr="00CE7933">
        <w:rPr>
          <w:rFonts w:ascii="Arial" w:eastAsia="Calibri" w:hAnsi="Arial" w:cs="Arial"/>
        </w:rPr>
        <w:t>à celui du gazole</w:t>
      </w:r>
    </w:p>
    <w:p w:rsidR="00B3588C" w:rsidRPr="00CE7933" w:rsidRDefault="00F406FB" w:rsidP="00CE7933">
      <w:pPr>
        <w:spacing w:after="0" w:line="240" w:lineRule="auto"/>
        <w:jc w:val="both"/>
        <w:rPr>
          <w:rFonts w:ascii="Arial" w:eastAsia="Calibri" w:hAnsi="Arial" w:cs="Arial"/>
        </w:rPr>
      </w:pPr>
      <w:r w:rsidRPr="00CE7933">
        <w:rPr>
          <w:rFonts w:ascii="Arial" w:eastAsia="Calibri" w:hAnsi="Arial" w:cs="Arial"/>
        </w:rPr>
        <w:t xml:space="preserve">-    </w:t>
      </w:r>
      <w:r w:rsidR="00B3588C" w:rsidRPr="00CE7933">
        <w:rPr>
          <w:rFonts w:ascii="Arial" w:eastAsia="Calibri" w:hAnsi="Arial" w:cs="Arial"/>
        </w:rPr>
        <w:t>Une large gamme de véhicules aujourd’hui disponibles (véhicule léger, utilitaire, autobus, camion, benne à ordure…), dont des autocars de plusieurs constructeurs.</w:t>
      </w:r>
    </w:p>
    <w:p w:rsidR="00B3588C" w:rsidRPr="00CE7933" w:rsidRDefault="00B3588C" w:rsidP="00CE7933">
      <w:pPr>
        <w:spacing w:after="0" w:line="240" w:lineRule="auto"/>
        <w:jc w:val="both"/>
        <w:rPr>
          <w:rFonts w:ascii="Arial" w:eastAsia="Calibri" w:hAnsi="Arial" w:cs="Arial"/>
        </w:rPr>
      </w:pPr>
    </w:p>
    <w:p w:rsidR="00B3588C" w:rsidRPr="00CE7933" w:rsidRDefault="00CE7933" w:rsidP="00CE79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CE7933">
        <w:rPr>
          <w:rFonts w:ascii="Arial" w:hAnsi="Arial" w:cs="Arial"/>
        </w:rPr>
        <w:t>À l’occasion de cette expérimentation, GRDF met à disposition une station de recharge GNV au Havre.</w:t>
      </w:r>
      <w:r w:rsidRPr="00CE7933">
        <w:rPr>
          <w:rFonts w:ascii="Arial" w:hAnsi="Arial" w:cs="Arial"/>
          <w:sz w:val="20"/>
          <w:szCs w:val="20"/>
        </w:rPr>
        <w:t xml:space="preserve"> L</w:t>
      </w:r>
      <w:r w:rsidR="00B3588C" w:rsidRPr="00CE7933">
        <w:rPr>
          <w:rFonts w:ascii="Arial" w:eastAsia="Calibri" w:hAnsi="Arial" w:cs="Arial"/>
        </w:rPr>
        <w:t xml:space="preserve">a Région </w:t>
      </w:r>
      <w:r w:rsidRPr="00CE7933">
        <w:rPr>
          <w:rFonts w:ascii="Arial" w:eastAsia="Calibri" w:hAnsi="Arial" w:cs="Arial"/>
        </w:rPr>
        <w:t xml:space="preserve">et GRDF souhaitent à terme développer </w:t>
      </w:r>
      <w:r w:rsidR="00B3588C" w:rsidRPr="00CE7933">
        <w:rPr>
          <w:rFonts w:ascii="Arial" w:eastAsia="Calibri" w:hAnsi="Arial" w:cs="Arial"/>
        </w:rPr>
        <w:t xml:space="preserve">un réseau de stations GNV et bio-GNV sur le territoire. </w:t>
      </w:r>
    </w:p>
    <w:p w:rsidR="00CE7933" w:rsidRPr="001A76F2" w:rsidRDefault="00CE7933" w:rsidP="00CE7933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  <w:r w:rsidRPr="001A76F2">
        <w:rPr>
          <w:rFonts w:ascii="Arial" w:eastAsia="Calibri" w:hAnsi="Arial" w:cs="Arial"/>
          <w:szCs w:val="24"/>
          <w:lang w:eastAsia="fr-FR"/>
        </w:rPr>
        <w:lastRenderedPageBreak/>
        <w:t>Contact presse :</w:t>
      </w:r>
    </w:p>
    <w:p w:rsidR="00CE7933" w:rsidRPr="001A76F2" w:rsidRDefault="00CE7933" w:rsidP="00CE7933">
      <w:pPr>
        <w:spacing w:after="0" w:line="240" w:lineRule="auto"/>
        <w:jc w:val="both"/>
        <w:rPr>
          <w:rFonts w:ascii="Arial" w:eastAsia="Calibri" w:hAnsi="Arial" w:cs="Arial"/>
          <w:szCs w:val="24"/>
          <w:lang w:val="en-US" w:eastAsia="fr-FR"/>
        </w:rPr>
      </w:pPr>
      <w:r w:rsidRPr="001A76F2">
        <w:rPr>
          <w:rFonts w:ascii="Arial" w:eastAsia="Calibri" w:hAnsi="Arial" w:cs="Arial"/>
          <w:szCs w:val="24"/>
          <w:lang w:val="en-US" w:eastAsia="fr-FR"/>
        </w:rPr>
        <w:t>Laure Wattinne - 02 31 06 78 96 – </w:t>
      </w:r>
      <w:hyperlink r:id="rId10" w:history="1">
        <w:r w:rsidRPr="001A76F2">
          <w:rPr>
            <w:rFonts w:ascii="Arial" w:eastAsia="Calibri" w:hAnsi="Arial" w:cs="Arial"/>
            <w:szCs w:val="24"/>
            <w:u w:val="single"/>
            <w:lang w:val="en-US" w:eastAsia="fr-FR"/>
          </w:rPr>
          <w:t>laure.wattinne@normandie.fr</w:t>
        </w:r>
      </w:hyperlink>
    </w:p>
    <w:bookmarkEnd w:id="0"/>
    <w:p w:rsidR="00CE7933" w:rsidRDefault="00CE7933" w:rsidP="00326C41"/>
    <w:p w:rsidR="00762080" w:rsidRDefault="00762080" w:rsidP="00326C41"/>
    <w:sectPr w:rsidR="0076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E5379"/>
    <w:multiLevelType w:val="hybridMultilevel"/>
    <w:tmpl w:val="19ECCD44"/>
    <w:lvl w:ilvl="0" w:tplc="5B7068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3B3F"/>
    <w:multiLevelType w:val="hybridMultilevel"/>
    <w:tmpl w:val="26169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4D55"/>
    <w:multiLevelType w:val="hybridMultilevel"/>
    <w:tmpl w:val="D47AF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068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F148C"/>
    <w:multiLevelType w:val="hybridMultilevel"/>
    <w:tmpl w:val="DBA87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76544"/>
    <w:multiLevelType w:val="hybridMultilevel"/>
    <w:tmpl w:val="56960DE6"/>
    <w:lvl w:ilvl="0" w:tplc="5B7068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C31D2"/>
    <w:multiLevelType w:val="hybridMultilevel"/>
    <w:tmpl w:val="0AFCA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068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6C"/>
    <w:rsid w:val="0017155F"/>
    <w:rsid w:val="00281531"/>
    <w:rsid w:val="002E498E"/>
    <w:rsid w:val="00326C41"/>
    <w:rsid w:val="00762080"/>
    <w:rsid w:val="007D5A6C"/>
    <w:rsid w:val="007E7680"/>
    <w:rsid w:val="00B3588C"/>
    <w:rsid w:val="00C657B5"/>
    <w:rsid w:val="00CE7933"/>
    <w:rsid w:val="00F4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33774-3875-4931-958D-44ACAFC7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17155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B358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edesmetiers-valdemarne.fr/events/keolis-vous-presente-ses-metiers-du-transport-public-de-voyageu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aure.wattinne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3</cp:revision>
  <dcterms:created xsi:type="dcterms:W3CDTF">2019-11-05T15:14:00Z</dcterms:created>
  <dcterms:modified xsi:type="dcterms:W3CDTF">2019-11-07T17:15:00Z</dcterms:modified>
</cp:coreProperties>
</file>