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5B6" w:rsidRDefault="00C875B6"/>
    <w:p w:rsidR="00577B9E" w:rsidRDefault="00577B9E">
      <w:r>
        <w:rPr>
          <w:noProof/>
          <w:lang w:eastAsia="fr-FR"/>
        </w:rPr>
        <w:drawing>
          <wp:inline distT="0" distB="0" distL="0" distR="0" wp14:anchorId="519E64EE">
            <wp:extent cx="5771515" cy="552450"/>
            <wp:effectExtent l="0" t="0" r="63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71515" cy="552450"/>
                    </a:xfrm>
                    <a:prstGeom prst="rect">
                      <a:avLst/>
                    </a:prstGeom>
                    <a:noFill/>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4"/>
        <w:gridCol w:w="3772"/>
        <w:gridCol w:w="2976"/>
      </w:tblGrid>
      <w:tr w:rsidR="00577B9E" w:rsidTr="00577B9E">
        <w:tc>
          <w:tcPr>
            <w:tcW w:w="2433" w:type="dxa"/>
          </w:tcPr>
          <w:p w:rsidR="00577B9E" w:rsidRDefault="00577B9E">
            <w:r>
              <w:rPr>
                <w:noProof/>
                <w:lang w:eastAsia="fr-FR"/>
              </w:rPr>
              <w:drawing>
                <wp:inline distT="0" distB="0" distL="0" distR="0" wp14:anchorId="4B3B8853">
                  <wp:extent cx="1038225" cy="98008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2906" cy="984503"/>
                          </a:xfrm>
                          <a:prstGeom prst="rect">
                            <a:avLst/>
                          </a:prstGeom>
                          <a:noFill/>
                        </pic:spPr>
                      </pic:pic>
                    </a:graphicData>
                  </a:graphic>
                </wp:inline>
              </w:drawing>
            </w:r>
          </w:p>
        </w:tc>
        <w:tc>
          <w:tcPr>
            <w:tcW w:w="4197" w:type="dxa"/>
          </w:tcPr>
          <w:p w:rsidR="00577B9E" w:rsidRDefault="00577B9E" w:rsidP="00577B9E">
            <w:pPr>
              <w:jc w:val="center"/>
            </w:pPr>
            <w:r>
              <w:rPr>
                <w:noProof/>
                <w:lang w:eastAsia="fr-FR"/>
              </w:rPr>
              <w:drawing>
                <wp:inline distT="0" distB="0" distL="0" distR="0" wp14:anchorId="50D65CA3">
                  <wp:extent cx="1085850" cy="1012764"/>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0982" cy="1017551"/>
                          </a:xfrm>
                          <a:prstGeom prst="rect">
                            <a:avLst/>
                          </a:prstGeom>
                          <a:noFill/>
                        </pic:spPr>
                      </pic:pic>
                    </a:graphicData>
                  </a:graphic>
                </wp:inline>
              </w:drawing>
            </w:r>
          </w:p>
        </w:tc>
        <w:tc>
          <w:tcPr>
            <w:tcW w:w="2432" w:type="dxa"/>
          </w:tcPr>
          <w:p w:rsidR="00577B9E" w:rsidRDefault="00577B9E">
            <w:pPr>
              <w:rPr>
                <w:noProof/>
                <w:lang w:eastAsia="fr-FR"/>
              </w:rPr>
            </w:pPr>
            <w:r>
              <w:rPr>
                <w:noProof/>
                <w:lang w:eastAsia="fr-FR"/>
              </w:rPr>
              <w:drawing>
                <wp:inline distT="0" distB="0" distL="0" distR="0" wp14:anchorId="16DEEFB1" wp14:editId="019E2150">
                  <wp:extent cx="1752080" cy="1039616"/>
                  <wp:effectExtent l="0" t="0" r="635"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9820" cy="1050142"/>
                          </a:xfrm>
                          <a:prstGeom prst="rect">
                            <a:avLst/>
                          </a:prstGeom>
                          <a:noFill/>
                        </pic:spPr>
                      </pic:pic>
                    </a:graphicData>
                  </a:graphic>
                </wp:inline>
              </w:drawing>
            </w:r>
          </w:p>
        </w:tc>
      </w:tr>
    </w:tbl>
    <w:p w:rsidR="00577B9E" w:rsidRDefault="00577B9E"/>
    <w:p w:rsidR="00896719" w:rsidRDefault="00896719" w:rsidP="00896719">
      <w:pPr>
        <w:spacing w:after="0" w:line="240" w:lineRule="auto"/>
        <w:jc w:val="right"/>
        <w:rPr>
          <w:rFonts w:ascii="Arial" w:hAnsi="Arial" w:cs="Arial"/>
          <w:bCs/>
          <w:sz w:val="24"/>
          <w:szCs w:val="24"/>
          <w:lang w:eastAsia="fr-FR"/>
        </w:rPr>
      </w:pPr>
    </w:p>
    <w:p w:rsidR="00CC6AB9" w:rsidRPr="00CC6AB9" w:rsidRDefault="00CC6AB9" w:rsidP="00CC6AB9">
      <w:pPr>
        <w:spacing w:after="120"/>
        <w:jc w:val="right"/>
        <w:rPr>
          <w:rFonts w:ascii="Arial" w:hAnsi="Arial" w:cs="Arial"/>
          <w:bCs/>
          <w:sz w:val="24"/>
          <w:szCs w:val="24"/>
          <w:lang w:eastAsia="fr-FR"/>
        </w:rPr>
      </w:pPr>
      <w:r w:rsidRPr="00CC6AB9">
        <w:rPr>
          <w:rFonts w:ascii="Arial" w:eastAsia="Calibri" w:hAnsi="Arial" w:cs="Arial"/>
          <w:sz w:val="24"/>
          <w:szCs w:val="24"/>
          <w:lang w:eastAsia="fr-FR"/>
        </w:rPr>
        <w:t xml:space="preserve">Le 2 mars 2020 </w:t>
      </w:r>
    </w:p>
    <w:p w:rsidR="00CC6AB9" w:rsidRPr="00CC6AB9" w:rsidRDefault="00CC6AB9" w:rsidP="00CC6AB9">
      <w:pPr>
        <w:spacing w:after="0" w:line="240" w:lineRule="auto"/>
        <w:jc w:val="right"/>
        <w:rPr>
          <w:rFonts w:ascii="Times New Roman" w:eastAsia="Calibri" w:hAnsi="Times New Roman" w:cs="Times New Roman"/>
          <w:sz w:val="24"/>
          <w:szCs w:val="24"/>
          <w:lang w:eastAsia="fr-FR"/>
        </w:rPr>
      </w:pPr>
      <w:r w:rsidRPr="00CC6AB9">
        <w:rPr>
          <w:rFonts w:ascii="Calibri" w:eastAsia="Calibri" w:hAnsi="Calibri" w:cs="Calibri"/>
          <w:b/>
          <w:bCs/>
          <w:sz w:val="24"/>
          <w:szCs w:val="24"/>
          <w:lang w:eastAsia="fr-FR"/>
        </w:rPr>
        <w:t> </w:t>
      </w:r>
    </w:p>
    <w:p w:rsidR="00CC6AB9" w:rsidRPr="00CC6AB9" w:rsidRDefault="00CC6AB9" w:rsidP="00CC6AB9">
      <w:pPr>
        <w:spacing w:after="0" w:line="240" w:lineRule="auto"/>
        <w:jc w:val="both"/>
        <w:rPr>
          <w:rFonts w:ascii="Times New Roman" w:eastAsia="Calibri" w:hAnsi="Times New Roman" w:cs="Times New Roman"/>
          <w:sz w:val="24"/>
          <w:szCs w:val="24"/>
          <w:lang w:eastAsia="fr-FR"/>
        </w:rPr>
      </w:pPr>
      <w:r w:rsidRPr="00CC6AB9">
        <w:rPr>
          <w:rFonts w:ascii="Arial" w:eastAsia="Calibri" w:hAnsi="Arial" w:cs="Arial"/>
          <w:b/>
          <w:bCs/>
          <w:sz w:val="28"/>
          <w:szCs w:val="28"/>
          <w:lang w:eastAsia="fr-FR"/>
        </w:rPr>
        <w:t xml:space="preserve">La Région renouvelle son soutien au pôle </w:t>
      </w:r>
      <w:proofErr w:type="spellStart"/>
      <w:r w:rsidRPr="00CC6AB9">
        <w:rPr>
          <w:rFonts w:ascii="Arial" w:eastAsia="Calibri" w:hAnsi="Arial" w:cs="Arial"/>
          <w:b/>
          <w:bCs/>
          <w:sz w:val="28"/>
          <w:szCs w:val="28"/>
          <w:lang w:eastAsia="fr-FR"/>
        </w:rPr>
        <w:t>Hippolia</w:t>
      </w:r>
      <w:proofErr w:type="spellEnd"/>
      <w:r w:rsidRPr="00CC6AB9">
        <w:rPr>
          <w:rFonts w:ascii="Arial" w:eastAsia="Calibri" w:hAnsi="Arial" w:cs="Arial"/>
          <w:b/>
          <w:bCs/>
          <w:sz w:val="28"/>
          <w:szCs w:val="28"/>
          <w:lang w:eastAsia="fr-FR"/>
        </w:rPr>
        <w:t xml:space="preserve"> pour la période 2020-2022</w:t>
      </w:r>
    </w:p>
    <w:p w:rsidR="00CC6AB9" w:rsidRPr="00CC6AB9" w:rsidRDefault="00CC6AB9" w:rsidP="00CC6AB9">
      <w:pPr>
        <w:spacing w:after="0" w:line="240" w:lineRule="auto"/>
        <w:jc w:val="both"/>
        <w:rPr>
          <w:rFonts w:ascii="Times New Roman" w:eastAsia="Calibri" w:hAnsi="Times New Roman" w:cs="Times New Roman"/>
          <w:sz w:val="24"/>
          <w:szCs w:val="24"/>
          <w:lang w:eastAsia="fr-FR"/>
        </w:rPr>
      </w:pPr>
      <w:r w:rsidRPr="00CC6AB9">
        <w:rPr>
          <w:rFonts w:ascii="Calibri" w:eastAsia="Calibri" w:hAnsi="Calibri" w:cs="Calibri"/>
          <w:b/>
          <w:bCs/>
          <w:sz w:val="24"/>
          <w:szCs w:val="24"/>
          <w:lang w:eastAsia="fr-FR"/>
        </w:rPr>
        <w:t> </w:t>
      </w:r>
    </w:p>
    <w:p w:rsidR="00CC6AB9" w:rsidRPr="00EE5DB6" w:rsidRDefault="00CC6AB9" w:rsidP="00CC6AB9">
      <w:pPr>
        <w:autoSpaceDE w:val="0"/>
        <w:autoSpaceDN w:val="0"/>
        <w:spacing w:after="0" w:line="240" w:lineRule="auto"/>
        <w:jc w:val="both"/>
        <w:rPr>
          <w:rFonts w:ascii="Arial" w:eastAsia="Calibri" w:hAnsi="Arial" w:cs="Arial"/>
          <w:b/>
          <w:bCs/>
          <w:szCs w:val="24"/>
          <w:lang w:eastAsia="fr-FR"/>
        </w:rPr>
      </w:pPr>
      <w:bookmarkStart w:id="0" w:name="_GoBack"/>
      <w:r w:rsidRPr="00CC6AB9">
        <w:rPr>
          <w:rFonts w:ascii="Arial" w:eastAsia="Calibri" w:hAnsi="Arial" w:cs="Arial"/>
          <w:b/>
          <w:bCs/>
          <w:szCs w:val="24"/>
          <w:lang w:eastAsia="fr-FR"/>
        </w:rPr>
        <w:t xml:space="preserve">Suite au bilan satisfaisant des actions menées par le pôle </w:t>
      </w:r>
      <w:proofErr w:type="spellStart"/>
      <w:r w:rsidRPr="00CC6AB9">
        <w:rPr>
          <w:rFonts w:ascii="Arial" w:eastAsia="Calibri" w:hAnsi="Arial" w:cs="Arial"/>
          <w:b/>
          <w:bCs/>
          <w:szCs w:val="24"/>
          <w:lang w:eastAsia="fr-FR"/>
        </w:rPr>
        <w:t>Hippolia</w:t>
      </w:r>
      <w:proofErr w:type="spellEnd"/>
      <w:r w:rsidRPr="00CC6AB9">
        <w:rPr>
          <w:rFonts w:ascii="Arial" w:eastAsia="Calibri" w:hAnsi="Arial" w:cs="Arial"/>
          <w:b/>
          <w:bCs/>
          <w:szCs w:val="24"/>
          <w:lang w:eastAsia="fr-FR"/>
        </w:rPr>
        <w:t xml:space="preserve"> dans le cadre du contrat d’objectifs 2017-2019, la Région Normandie a décidé de renouveler son soutien à la filière. Dans ce cadre, Hervé Morin, Président de la Région Normandie, Président de l’AD Normandie, et Laurence Meunier, Présidente du Pôle </w:t>
      </w:r>
      <w:proofErr w:type="spellStart"/>
      <w:r w:rsidRPr="00CC6AB9">
        <w:rPr>
          <w:rFonts w:ascii="Arial" w:eastAsia="Calibri" w:hAnsi="Arial" w:cs="Arial"/>
          <w:b/>
          <w:bCs/>
          <w:szCs w:val="24"/>
          <w:lang w:eastAsia="fr-FR"/>
        </w:rPr>
        <w:t>Hippolia</w:t>
      </w:r>
      <w:proofErr w:type="spellEnd"/>
      <w:r w:rsidRPr="00CC6AB9">
        <w:rPr>
          <w:rFonts w:ascii="Arial" w:eastAsia="Calibri" w:hAnsi="Arial" w:cs="Arial"/>
          <w:b/>
          <w:bCs/>
          <w:szCs w:val="24"/>
          <w:lang w:eastAsia="fr-FR"/>
        </w:rPr>
        <w:t>, ont officiellement signé, ce jour, à l’Abbaye-aux-Dames à Caen, un nouveau contrat pour la période 2020-2022</w:t>
      </w:r>
      <w:r w:rsidR="00EE5DB6">
        <w:rPr>
          <w:rFonts w:ascii="Arial" w:eastAsia="Calibri" w:hAnsi="Arial" w:cs="Arial"/>
          <w:b/>
          <w:bCs/>
          <w:szCs w:val="24"/>
          <w:lang w:eastAsia="fr-FR"/>
        </w:rPr>
        <w:t xml:space="preserve">, en présence de </w:t>
      </w:r>
      <w:r w:rsidR="00EE5DB6" w:rsidRPr="00EE5DB6">
        <w:rPr>
          <w:rFonts w:ascii="Arial" w:eastAsia="Calibri" w:hAnsi="Arial" w:cs="Arial"/>
          <w:b/>
          <w:bCs/>
          <w:szCs w:val="24"/>
          <w:lang w:eastAsia="fr-FR"/>
        </w:rPr>
        <w:t xml:space="preserve">Malika </w:t>
      </w:r>
      <w:proofErr w:type="spellStart"/>
      <w:r w:rsidR="00EE5DB6" w:rsidRPr="00EE5DB6">
        <w:rPr>
          <w:rFonts w:ascii="Arial" w:eastAsia="Calibri" w:hAnsi="Arial" w:cs="Arial"/>
          <w:b/>
          <w:bCs/>
          <w:szCs w:val="24"/>
          <w:lang w:eastAsia="fr-FR"/>
        </w:rPr>
        <w:t>C</w:t>
      </w:r>
      <w:r w:rsidR="00EE5DB6">
        <w:rPr>
          <w:rFonts w:ascii="Arial" w:eastAsia="Calibri" w:hAnsi="Arial" w:cs="Arial"/>
          <w:b/>
          <w:bCs/>
          <w:szCs w:val="24"/>
          <w:lang w:eastAsia="fr-FR"/>
        </w:rPr>
        <w:t>herrière</w:t>
      </w:r>
      <w:proofErr w:type="spellEnd"/>
      <w:r w:rsidR="00EE5DB6" w:rsidRPr="00EE5DB6">
        <w:rPr>
          <w:rFonts w:ascii="Arial" w:eastAsia="Calibri" w:hAnsi="Arial" w:cs="Arial"/>
          <w:b/>
          <w:bCs/>
          <w:szCs w:val="24"/>
          <w:lang w:eastAsia="fr-FR"/>
        </w:rPr>
        <w:t>, Conseillère régionale déléguée à la politique équine</w:t>
      </w:r>
      <w:r w:rsidR="00EE5DB6">
        <w:rPr>
          <w:rFonts w:ascii="Arial" w:eastAsia="Calibri" w:hAnsi="Arial" w:cs="Arial"/>
          <w:b/>
          <w:bCs/>
          <w:szCs w:val="24"/>
          <w:lang w:eastAsia="fr-FR"/>
        </w:rPr>
        <w:t xml:space="preserve"> et de </w:t>
      </w:r>
      <w:r w:rsidR="00EE5DB6" w:rsidRPr="00EE5DB6">
        <w:rPr>
          <w:rFonts w:ascii="Arial" w:eastAsia="Calibri" w:hAnsi="Arial" w:cs="Arial"/>
          <w:b/>
          <w:bCs/>
          <w:szCs w:val="24"/>
          <w:lang w:eastAsia="fr-FR"/>
        </w:rPr>
        <w:t>Philippe Augier, Maire de Deauville</w:t>
      </w:r>
      <w:r w:rsidR="00EE5DB6">
        <w:rPr>
          <w:rFonts w:ascii="Arial" w:eastAsia="Calibri" w:hAnsi="Arial" w:cs="Arial"/>
          <w:b/>
          <w:bCs/>
          <w:szCs w:val="24"/>
          <w:lang w:eastAsia="fr-FR"/>
        </w:rPr>
        <w:t xml:space="preserve"> et membre-fondateur d’</w:t>
      </w:r>
      <w:proofErr w:type="spellStart"/>
      <w:r w:rsidR="00EE5DB6">
        <w:rPr>
          <w:rFonts w:ascii="Arial" w:eastAsia="Calibri" w:hAnsi="Arial" w:cs="Arial"/>
          <w:b/>
          <w:bCs/>
          <w:szCs w:val="24"/>
          <w:lang w:eastAsia="fr-FR"/>
        </w:rPr>
        <w:t>Hippolia</w:t>
      </w:r>
      <w:proofErr w:type="spellEnd"/>
      <w:r w:rsidR="00EE5DB6">
        <w:rPr>
          <w:rFonts w:ascii="Arial" w:eastAsia="Calibri" w:hAnsi="Arial" w:cs="Arial"/>
          <w:b/>
          <w:bCs/>
          <w:szCs w:val="24"/>
          <w:lang w:eastAsia="fr-FR"/>
        </w:rPr>
        <w:t xml:space="preserve">. </w:t>
      </w:r>
      <w:r w:rsidRPr="00CC6AB9">
        <w:rPr>
          <w:rFonts w:ascii="Arial" w:eastAsia="Calibri" w:hAnsi="Arial" w:cs="Arial"/>
          <w:b/>
          <w:bCs/>
          <w:szCs w:val="24"/>
          <w:lang w:eastAsia="fr-FR"/>
        </w:rPr>
        <w:t xml:space="preserve"> </w:t>
      </w:r>
      <w:r w:rsidR="00EE5DB6">
        <w:rPr>
          <w:rFonts w:ascii="Arial" w:eastAsia="Calibri" w:hAnsi="Arial" w:cs="Arial"/>
          <w:b/>
          <w:bCs/>
          <w:szCs w:val="24"/>
          <w:lang w:eastAsia="fr-FR"/>
        </w:rPr>
        <w:br/>
      </w:r>
      <w:r w:rsidRPr="00CC6AB9">
        <w:rPr>
          <w:rFonts w:ascii="Arial" w:eastAsia="Calibri" w:hAnsi="Arial" w:cs="Arial"/>
          <w:b/>
          <w:bCs/>
          <w:szCs w:val="24"/>
          <w:lang w:eastAsia="fr-FR"/>
        </w:rPr>
        <w:t xml:space="preserve">Celui-ci fixe le plan d’actions que la Région et le pôle </w:t>
      </w:r>
      <w:proofErr w:type="spellStart"/>
      <w:r w:rsidRPr="00CC6AB9">
        <w:rPr>
          <w:rFonts w:ascii="Arial" w:eastAsia="Calibri" w:hAnsi="Arial" w:cs="Arial"/>
          <w:b/>
          <w:bCs/>
          <w:szCs w:val="24"/>
          <w:lang w:eastAsia="fr-FR"/>
        </w:rPr>
        <w:t>Hippolia</w:t>
      </w:r>
      <w:proofErr w:type="spellEnd"/>
      <w:r w:rsidRPr="00CC6AB9">
        <w:rPr>
          <w:rFonts w:ascii="Arial" w:eastAsia="Calibri" w:hAnsi="Arial" w:cs="Arial"/>
          <w:b/>
          <w:bCs/>
          <w:szCs w:val="24"/>
          <w:lang w:eastAsia="fr-FR"/>
        </w:rPr>
        <w:t xml:space="preserve"> ont décidé de porter ensemble pour les 3 ans à venir autour de cinq axes : l</w:t>
      </w:r>
      <w:r w:rsidRPr="00CC6AB9">
        <w:rPr>
          <w:rFonts w:ascii="Arial" w:eastAsia="Calibri" w:hAnsi="Arial" w:cs="Arial"/>
          <w:b/>
          <w:bCs/>
          <w:szCs w:val="24"/>
          <w:lang w:eastAsia="ja-JP"/>
        </w:rPr>
        <w:t>a gestion administrative et la stratégie du pôle</w:t>
      </w:r>
      <w:r w:rsidRPr="00CC6AB9">
        <w:rPr>
          <w:rFonts w:ascii="Arial" w:eastAsia="Calibri" w:hAnsi="Arial" w:cs="Arial"/>
          <w:szCs w:val="24"/>
          <w:lang w:eastAsia="ja-JP"/>
        </w:rPr>
        <w:t xml:space="preserve">, </w:t>
      </w:r>
      <w:r w:rsidRPr="00CC6AB9">
        <w:rPr>
          <w:rFonts w:ascii="Arial" w:eastAsia="Calibri" w:hAnsi="Arial" w:cs="Arial"/>
          <w:b/>
          <w:bCs/>
          <w:szCs w:val="24"/>
          <w:lang w:eastAsia="fr-FR"/>
        </w:rPr>
        <w:t>l’intelligence économique, la communication et les réseaux, la recherche et l’innovation et le développement commercial des entreprises adhérentes. La Région financera ces actions à hauteur de 874 607 euros.</w:t>
      </w:r>
      <w:r w:rsidRPr="00CC6AB9">
        <w:rPr>
          <w:rFonts w:ascii="Arial" w:eastAsia="Calibri" w:hAnsi="Arial" w:cs="Arial"/>
          <w:szCs w:val="24"/>
          <w:lang w:eastAsia="fr-FR"/>
        </w:rPr>
        <w:t xml:space="preserve"> </w:t>
      </w:r>
    </w:p>
    <w:p w:rsidR="00CC6AB9" w:rsidRPr="00CC6AB9" w:rsidRDefault="00CC6AB9" w:rsidP="00CC6AB9">
      <w:pPr>
        <w:spacing w:after="0" w:line="240" w:lineRule="auto"/>
        <w:jc w:val="both"/>
        <w:rPr>
          <w:rFonts w:ascii="Times New Roman" w:eastAsia="Calibri" w:hAnsi="Times New Roman" w:cs="Times New Roman"/>
          <w:szCs w:val="24"/>
          <w:lang w:eastAsia="fr-FR"/>
        </w:rPr>
      </w:pPr>
      <w:r w:rsidRPr="00CC6AB9">
        <w:rPr>
          <w:rFonts w:ascii="Arial" w:eastAsia="Calibri" w:hAnsi="Arial" w:cs="Arial"/>
          <w:szCs w:val="24"/>
          <w:lang w:eastAsia="fr-FR"/>
        </w:rPr>
        <w:t> </w:t>
      </w:r>
    </w:p>
    <w:p w:rsidR="00CC6AB9" w:rsidRPr="00CC6AB9" w:rsidRDefault="00CC6AB9" w:rsidP="00CC6AB9">
      <w:pPr>
        <w:spacing w:after="0" w:line="240" w:lineRule="auto"/>
        <w:jc w:val="both"/>
        <w:rPr>
          <w:rFonts w:ascii="Times New Roman" w:eastAsia="Calibri" w:hAnsi="Times New Roman" w:cs="Times New Roman"/>
          <w:szCs w:val="24"/>
          <w:lang w:eastAsia="fr-FR"/>
        </w:rPr>
      </w:pPr>
      <w:r w:rsidRPr="00CC6AB9">
        <w:rPr>
          <w:rFonts w:ascii="Arial" w:eastAsia="Calibri" w:hAnsi="Arial" w:cs="Arial"/>
          <w:i/>
          <w:iCs/>
          <w:szCs w:val="24"/>
          <w:lang w:eastAsia="fr-FR"/>
        </w:rPr>
        <w:t xml:space="preserve">« Dès 2016, la Région a décidé de redessiner sa politique de contractualisation avec les filières et pôles de compétitivité. L’aide aux filières stratégiques prend depuis la forme de contrats d’objectifs sur trois ans, élaborés sur la base des grands principes de leadership, responsabilisation et visibilité financière, permettant aux différents secteurs d’installer des actions sur le long terme. Douze contrats de filière ont été signés pour la période 2017-2019 et 13 millions d’euros ont été mobilisés dans ce cadre. La Région est heureuse de renouveler aujourd’hui son soutien au pôle </w:t>
      </w:r>
      <w:proofErr w:type="spellStart"/>
      <w:r w:rsidRPr="00CC6AB9">
        <w:rPr>
          <w:rFonts w:ascii="Arial" w:eastAsia="Calibri" w:hAnsi="Arial" w:cs="Arial"/>
          <w:i/>
          <w:iCs/>
          <w:szCs w:val="24"/>
          <w:lang w:eastAsia="fr-FR"/>
        </w:rPr>
        <w:t>Hippolia</w:t>
      </w:r>
      <w:proofErr w:type="spellEnd"/>
      <w:r w:rsidRPr="00CC6AB9">
        <w:rPr>
          <w:rFonts w:ascii="Arial" w:eastAsia="Calibri" w:hAnsi="Arial" w:cs="Arial"/>
          <w:i/>
          <w:iCs/>
          <w:szCs w:val="24"/>
          <w:lang w:eastAsia="fr-FR"/>
        </w:rPr>
        <w:t xml:space="preserve"> et de contribuer ainsi à affirmer la place de la Normandie comme terre d'excellence du cheval. Avec plus de 18 000 emplois directs, 57 centres et organismes de formations et 6 700 entreprises et organisations, la filière équine représente un atout majeur pour le développement économique et l’attractivité de notre territoire » </w:t>
      </w:r>
      <w:r w:rsidRPr="00CC6AB9">
        <w:rPr>
          <w:rFonts w:ascii="Arial" w:eastAsia="Calibri" w:hAnsi="Arial" w:cs="Arial"/>
          <w:szCs w:val="24"/>
          <w:lang w:eastAsia="fr-FR"/>
        </w:rPr>
        <w:t>a déclaré Hervé Morin, Président de la Région Normandie et de l’AD Normandie.</w:t>
      </w:r>
    </w:p>
    <w:p w:rsidR="00CC6AB9" w:rsidRPr="00CC6AB9" w:rsidRDefault="00CC6AB9" w:rsidP="00CC6AB9">
      <w:pPr>
        <w:spacing w:after="0" w:line="240" w:lineRule="auto"/>
        <w:jc w:val="both"/>
        <w:rPr>
          <w:rFonts w:ascii="Arial" w:eastAsia="Calibri" w:hAnsi="Arial" w:cs="Arial"/>
          <w:i/>
          <w:iCs/>
          <w:szCs w:val="24"/>
          <w:lang w:eastAsia="fr-FR"/>
        </w:rPr>
      </w:pPr>
      <w:r w:rsidRPr="00CC6AB9">
        <w:rPr>
          <w:rFonts w:ascii="Arial" w:eastAsia="Calibri" w:hAnsi="Arial" w:cs="Arial"/>
          <w:i/>
          <w:iCs/>
          <w:szCs w:val="24"/>
          <w:lang w:eastAsia="fr-FR"/>
        </w:rPr>
        <w:t> </w:t>
      </w:r>
    </w:p>
    <w:p w:rsidR="00CC6AB9" w:rsidRPr="00CC6AB9" w:rsidRDefault="00CC6AB9" w:rsidP="00CC6AB9">
      <w:pPr>
        <w:spacing w:after="120" w:line="240" w:lineRule="auto"/>
        <w:jc w:val="both"/>
        <w:rPr>
          <w:rFonts w:ascii="Arial" w:eastAsia="Calibri" w:hAnsi="Arial" w:cs="Arial"/>
          <w:b/>
          <w:iCs/>
          <w:sz w:val="24"/>
          <w:szCs w:val="24"/>
          <w:lang w:eastAsia="fr-FR"/>
        </w:rPr>
      </w:pPr>
      <w:r w:rsidRPr="00CC6AB9">
        <w:rPr>
          <w:rFonts w:ascii="Arial" w:eastAsia="Calibri" w:hAnsi="Arial" w:cs="Arial"/>
          <w:b/>
          <w:iCs/>
          <w:sz w:val="24"/>
          <w:szCs w:val="24"/>
          <w:lang w:eastAsia="fr-FR"/>
        </w:rPr>
        <w:t>De nombreuses actions</w:t>
      </w:r>
      <w:r>
        <w:rPr>
          <w:rFonts w:ascii="Arial" w:eastAsia="Calibri" w:hAnsi="Arial" w:cs="Arial"/>
          <w:b/>
          <w:iCs/>
          <w:sz w:val="24"/>
          <w:szCs w:val="24"/>
          <w:lang w:eastAsia="fr-FR"/>
        </w:rPr>
        <w:t xml:space="preserve"> </w:t>
      </w:r>
      <w:r w:rsidRPr="00CC6AB9">
        <w:rPr>
          <w:rFonts w:ascii="Arial" w:eastAsia="Calibri" w:hAnsi="Arial" w:cs="Arial"/>
          <w:b/>
          <w:iCs/>
          <w:sz w:val="24"/>
          <w:szCs w:val="24"/>
          <w:lang w:eastAsia="fr-FR"/>
        </w:rPr>
        <w:t>eng</w:t>
      </w:r>
      <w:r>
        <w:rPr>
          <w:rFonts w:ascii="Arial" w:eastAsia="Calibri" w:hAnsi="Arial" w:cs="Arial"/>
          <w:b/>
          <w:iCs/>
          <w:sz w:val="24"/>
          <w:szCs w:val="24"/>
          <w:lang w:eastAsia="fr-FR"/>
        </w:rPr>
        <w:t xml:space="preserve">agées sur la période 2017-2019 </w:t>
      </w:r>
    </w:p>
    <w:p w:rsidR="00CC6AB9" w:rsidRPr="00CC6AB9" w:rsidRDefault="00CC6AB9" w:rsidP="00CC6AB9">
      <w:pPr>
        <w:spacing w:after="0" w:line="240" w:lineRule="auto"/>
        <w:jc w:val="both"/>
        <w:rPr>
          <w:rFonts w:ascii="Times New Roman" w:eastAsia="Calibri" w:hAnsi="Times New Roman" w:cs="Times New Roman"/>
          <w:szCs w:val="24"/>
          <w:lang w:eastAsia="fr-FR"/>
        </w:rPr>
      </w:pPr>
      <w:r w:rsidRPr="00CC6AB9">
        <w:rPr>
          <w:rFonts w:ascii="Arial" w:eastAsia="Calibri" w:hAnsi="Arial" w:cs="Arial"/>
          <w:szCs w:val="24"/>
          <w:lang w:eastAsia="fr-FR"/>
        </w:rPr>
        <w:t xml:space="preserve">Créé en 2012, </w:t>
      </w:r>
      <w:proofErr w:type="spellStart"/>
      <w:r w:rsidRPr="00CC6AB9">
        <w:rPr>
          <w:rFonts w:ascii="Arial" w:eastAsia="Calibri" w:hAnsi="Arial" w:cs="Arial"/>
          <w:szCs w:val="24"/>
          <w:lang w:eastAsia="fr-FR"/>
        </w:rPr>
        <w:t>Hippolia</w:t>
      </w:r>
      <w:proofErr w:type="spellEnd"/>
      <w:r w:rsidRPr="00CC6AB9">
        <w:rPr>
          <w:rFonts w:ascii="Arial" w:eastAsia="Calibri" w:hAnsi="Arial" w:cs="Arial"/>
          <w:szCs w:val="24"/>
          <w:lang w:eastAsia="fr-FR"/>
        </w:rPr>
        <w:t xml:space="preserve"> est le</w:t>
      </w:r>
      <w:r w:rsidRPr="00CC6AB9">
        <w:rPr>
          <w:rFonts w:ascii="Times New Roman" w:eastAsia="Calibri" w:hAnsi="Times New Roman" w:cs="Times New Roman"/>
          <w:szCs w:val="24"/>
          <w:lang w:eastAsia="fr-FR"/>
        </w:rPr>
        <w:t xml:space="preserve"> </w:t>
      </w:r>
      <w:r w:rsidRPr="00CC6AB9">
        <w:rPr>
          <w:rFonts w:ascii="Arial" w:eastAsia="Calibri" w:hAnsi="Arial" w:cs="Arial"/>
          <w:szCs w:val="24"/>
          <w:lang w:eastAsia="fr-FR"/>
        </w:rPr>
        <w:t xml:space="preserve">seul pôle de compétitivité en France représentant la filière équine. Il compte aujourd’hui plus de 200 membres dont un tiers d’adhérents  normands. Celui-ci redouble d’initiatives pour fédérer l’ensemble de ses adhérents par l’organisation d’évènements, rassemblant chaque année environ 400 participants, tels que des ateliers d’émergences d’idées, des workshops thématisés, des visites de haras ou encore, l’organisation de la journée </w:t>
      </w:r>
      <w:proofErr w:type="spellStart"/>
      <w:r w:rsidRPr="00CC6AB9">
        <w:rPr>
          <w:rFonts w:ascii="Arial" w:eastAsia="Calibri" w:hAnsi="Arial" w:cs="Arial"/>
          <w:szCs w:val="24"/>
          <w:lang w:eastAsia="fr-FR"/>
        </w:rPr>
        <w:t>Hippolia</w:t>
      </w:r>
      <w:proofErr w:type="spellEnd"/>
      <w:r w:rsidRPr="00CC6AB9">
        <w:rPr>
          <w:rFonts w:ascii="Arial" w:eastAsia="Calibri" w:hAnsi="Arial" w:cs="Arial"/>
          <w:szCs w:val="24"/>
          <w:lang w:eastAsia="fr-FR"/>
        </w:rPr>
        <w:t xml:space="preserve"> et des </w:t>
      </w:r>
      <w:proofErr w:type="spellStart"/>
      <w:r w:rsidRPr="00CC6AB9">
        <w:rPr>
          <w:rFonts w:ascii="Arial" w:eastAsia="Calibri" w:hAnsi="Arial" w:cs="Arial"/>
          <w:szCs w:val="24"/>
          <w:lang w:eastAsia="fr-FR"/>
        </w:rPr>
        <w:t>HippoliApéro</w:t>
      </w:r>
      <w:proofErr w:type="spellEnd"/>
      <w:r w:rsidRPr="00CC6AB9">
        <w:rPr>
          <w:rFonts w:ascii="Arial" w:eastAsia="Calibri" w:hAnsi="Arial" w:cs="Arial"/>
          <w:szCs w:val="24"/>
          <w:lang w:eastAsia="fr-FR"/>
        </w:rPr>
        <w:t xml:space="preserve">. </w:t>
      </w:r>
    </w:p>
    <w:p w:rsidR="00CC6AB9" w:rsidRPr="00CC6AB9" w:rsidRDefault="00CC6AB9" w:rsidP="00CC6AB9">
      <w:pPr>
        <w:spacing w:after="0" w:line="240" w:lineRule="auto"/>
        <w:jc w:val="both"/>
        <w:rPr>
          <w:rFonts w:ascii="Times New Roman" w:eastAsia="Calibri" w:hAnsi="Times New Roman" w:cs="Times New Roman"/>
          <w:szCs w:val="24"/>
          <w:lang w:eastAsia="fr-FR"/>
        </w:rPr>
      </w:pPr>
      <w:r w:rsidRPr="00CC6AB9">
        <w:rPr>
          <w:rFonts w:ascii="Arial" w:eastAsia="Calibri" w:hAnsi="Arial" w:cs="Arial"/>
          <w:szCs w:val="24"/>
          <w:lang w:eastAsia="fr-FR"/>
        </w:rPr>
        <w:lastRenderedPageBreak/>
        <w:t> </w:t>
      </w:r>
    </w:p>
    <w:p w:rsidR="00CC6AB9" w:rsidRPr="00CC6AB9" w:rsidRDefault="00CC6AB9" w:rsidP="00CC6AB9">
      <w:pPr>
        <w:spacing w:after="0" w:line="240" w:lineRule="auto"/>
        <w:jc w:val="both"/>
        <w:rPr>
          <w:rFonts w:ascii="Times New Roman" w:eastAsia="Calibri" w:hAnsi="Times New Roman" w:cs="Times New Roman"/>
          <w:szCs w:val="24"/>
          <w:lang w:eastAsia="fr-FR"/>
        </w:rPr>
      </w:pPr>
      <w:r w:rsidRPr="00CC6AB9">
        <w:rPr>
          <w:rFonts w:ascii="Arial" w:eastAsia="Calibri" w:hAnsi="Arial" w:cs="Arial"/>
          <w:szCs w:val="24"/>
          <w:lang w:eastAsia="fr-FR"/>
        </w:rPr>
        <w:t xml:space="preserve">A cela s’ajoutent les nombreux salons nationaux et internationaux auxquels le pôle participe : le salon du Cheval à Paris avec l’organisation du Village des Start-ups et des Trophées de l’Innovation, le salon du Cheval à Bordeaux, SPOGA Horse en Allemagne, le Festival de l’Excellence Normande (FÊNO) ou encore </w:t>
      </w:r>
      <w:proofErr w:type="spellStart"/>
      <w:r w:rsidRPr="00CC6AB9">
        <w:rPr>
          <w:rFonts w:ascii="Arial" w:eastAsia="Calibri" w:hAnsi="Arial" w:cs="Arial"/>
          <w:szCs w:val="24"/>
          <w:lang w:eastAsia="fr-FR"/>
        </w:rPr>
        <w:t>Vivatech</w:t>
      </w:r>
      <w:proofErr w:type="spellEnd"/>
      <w:r w:rsidRPr="00CC6AB9">
        <w:rPr>
          <w:rFonts w:ascii="Arial" w:eastAsia="Calibri" w:hAnsi="Arial" w:cs="Arial"/>
          <w:szCs w:val="24"/>
          <w:lang w:eastAsia="fr-FR"/>
        </w:rPr>
        <w:t xml:space="preserve">. La présence du pôle lors de ces évènements incontournables a permis à ses membres d’acquérir une importante visibilité. </w:t>
      </w:r>
    </w:p>
    <w:p w:rsidR="00CC6AB9" w:rsidRPr="00CC6AB9" w:rsidRDefault="00CC6AB9" w:rsidP="00CC6AB9">
      <w:pPr>
        <w:spacing w:after="0" w:line="240" w:lineRule="auto"/>
        <w:jc w:val="both"/>
        <w:rPr>
          <w:rFonts w:ascii="Times New Roman" w:eastAsia="Calibri" w:hAnsi="Times New Roman" w:cs="Times New Roman"/>
          <w:szCs w:val="24"/>
          <w:lang w:eastAsia="fr-FR"/>
        </w:rPr>
      </w:pPr>
      <w:r w:rsidRPr="00CC6AB9">
        <w:rPr>
          <w:rFonts w:ascii="Arial" w:eastAsia="Calibri" w:hAnsi="Arial" w:cs="Arial"/>
          <w:szCs w:val="24"/>
          <w:lang w:eastAsia="fr-FR"/>
        </w:rPr>
        <w:t> </w:t>
      </w:r>
    </w:p>
    <w:p w:rsidR="00CC6AB9" w:rsidRPr="00CC6AB9" w:rsidRDefault="00CC6AB9" w:rsidP="00CC6AB9">
      <w:pPr>
        <w:spacing w:after="0" w:line="240" w:lineRule="auto"/>
        <w:jc w:val="both"/>
        <w:rPr>
          <w:rFonts w:ascii="Times New Roman" w:eastAsia="Calibri" w:hAnsi="Times New Roman" w:cs="Times New Roman"/>
          <w:szCs w:val="24"/>
          <w:lang w:eastAsia="fr-FR"/>
        </w:rPr>
      </w:pPr>
      <w:r w:rsidRPr="00CC6AB9">
        <w:rPr>
          <w:rFonts w:ascii="Arial" w:eastAsia="Calibri" w:hAnsi="Arial" w:cs="Arial"/>
          <w:szCs w:val="24"/>
          <w:lang w:eastAsia="fr-FR"/>
        </w:rPr>
        <w:t xml:space="preserve">La veille stratégique constitue aussi une action forte du pôle. 7 veilles ont été mises en place : scientifique, propriété industrielle, nouveaux produits, international, juridique, marchés publics et le Flash </w:t>
      </w:r>
      <w:proofErr w:type="spellStart"/>
      <w:r w:rsidRPr="00CC6AB9">
        <w:rPr>
          <w:rFonts w:ascii="Arial" w:eastAsia="Calibri" w:hAnsi="Arial" w:cs="Arial"/>
          <w:szCs w:val="24"/>
          <w:lang w:eastAsia="fr-FR"/>
        </w:rPr>
        <w:t>Hippolia</w:t>
      </w:r>
      <w:proofErr w:type="spellEnd"/>
      <w:r w:rsidRPr="00CC6AB9">
        <w:rPr>
          <w:rFonts w:ascii="Arial" w:eastAsia="Calibri" w:hAnsi="Arial" w:cs="Arial"/>
          <w:szCs w:val="24"/>
          <w:lang w:eastAsia="fr-FR"/>
        </w:rPr>
        <w:t xml:space="preserve">. Ces veilles permettent au pôle de générer des recettes privées non négligeables et sont une source d’information précieuse pour les adhérents. En 2018, ces veilles représentent plus de 2400 publications, 665 brevets, la présentation de 250 nouveaux produits, 12 pays analysés, 200 actualités juridiques et plus de 440 marchés publics ouverts. </w:t>
      </w:r>
    </w:p>
    <w:p w:rsidR="00CC6AB9" w:rsidRPr="00CC6AB9" w:rsidRDefault="00CC6AB9" w:rsidP="00CC6AB9">
      <w:pPr>
        <w:spacing w:after="0" w:line="240" w:lineRule="auto"/>
        <w:jc w:val="both"/>
        <w:rPr>
          <w:rFonts w:ascii="Times New Roman" w:eastAsia="Calibri" w:hAnsi="Times New Roman" w:cs="Times New Roman"/>
          <w:szCs w:val="24"/>
          <w:lang w:eastAsia="fr-FR"/>
        </w:rPr>
      </w:pPr>
      <w:r w:rsidRPr="00CC6AB9">
        <w:rPr>
          <w:rFonts w:ascii="Arial" w:eastAsia="Calibri" w:hAnsi="Arial" w:cs="Arial"/>
          <w:szCs w:val="24"/>
          <w:lang w:eastAsia="fr-FR"/>
        </w:rPr>
        <w:t> </w:t>
      </w:r>
    </w:p>
    <w:p w:rsidR="00CC6AB9" w:rsidRPr="00CC6AB9" w:rsidRDefault="00CC6AB9" w:rsidP="00CC6AB9">
      <w:pPr>
        <w:spacing w:after="0" w:line="240" w:lineRule="auto"/>
        <w:jc w:val="both"/>
        <w:rPr>
          <w:rFonts w:ascii="Times New Roman" w:eastAsia="Calibri" w:hAnsi="Times New Roman" w:cs="Times New Roman"/>
          <w:szCs w:val="24"/>
          <w:lang w:eastAsia="fr-FR"/>
        </w:rPr>
      </w:pPr>
      <w:r w:rsidRPr="00CC6AB9">
        <w:rPr>
          <w:rFonts w:ascii="Arial" w:eastAsia="Calibri" w:hAnsi="Arial" w:cs="Arial"/>
          <w:szCs w:val="24"/>
          <w:lang w:eastAsia="fr-FR"/>
        </w:rPr>
        <w:t xml:space="preserve">L’innovation est également au cœur des priorités du pôle. 150 rendez-vous projets ont été réalisés en 2018, permettant la labellisation de 12 dossiers pour un montant global de 6,2 millions d’euros et représentant en tout 296 mois de R&amp;D. Parmi ces projets, 25 % sont pilotés par des normands et 26 % comptent au moins un partenaire normand. Le sujet prédominant des dossiers labellisés est la santé. </w:t>
      </w:r>
    </w:p>
    <w:p w:rsidR="00CC6AB9" w:rsidRPr="00CC6AB9" w:rsidRDefault="00CC6AB9" w:rsidP="00CC6AB9">
      <w:pPr>
        <w:spacing w:after="0" w:line="240" w:lineRule="auto"/>
        <w:jc w:val="both"/>
        <w:rPr>
          <w:rFonts w:ascii="Arial" w:eastAsia="Calibri" w:hAnsi="Arial" w:cs="Arial"/>
          <w:szCs w:val="24"/>
          <w:lang w:eastAsia="fr-FR"/>
        </w:rPr>
      </w:pPr>
    </w:p>
    <w:p w:rsidR="00CC6AB9" w:rsidRPr="00CC6AB9" w:rsidRDefault="00CC6AB9" w:rsidP="00CC6AB9">
      <w:pPr>
        <w:spacing w:after="120" w:line="240" w:lineRule="auto"/>
        <w:jc w:val="both"/>
        <w:rPr>
          <w:rFonts w:ascii="Arial" w:eastAsia="Calibri" w:hAnsi="Arial" w:cs="Arial"/>
          <w:b/>
          <w:sz w:val="24"/>
          <w:szCs w:val="24"/>
          <w:lang w:eastAsia="fr-FR"/>
        </w:rPr>
      </w:pPr>
      <w:r w:rsidRPr="00CC6AB9">
        <w:rPr>
          <w:rFonts w:ascii="Arial" w:eastAsia="Calibri" w:hAnsi="Arial" w:cs="Arial"/>
          <w:b/>
          <w:sz w:val="24"/>
          <w:szCs w:val="24"/>
          <w:lang w:eastAsia="fr-FR"/>
        </w:rPr>
        <w:t xml:space="preserve">Le contrat </w:t>
      </w:r>
      <w:r>
        <w:rPr>
          <w:rFonts w:ascii="Arial" w:eastAsia="Calibri" w:hAnsi="Arial" w:cs="Arial"/>
          <w:b/>
          <w:sz w:val="24"/>
          <w:szCs w:val="24"/>
          <w:lang w:eastAsia="fr-FR"/>
        </w:rPr>
        <w:t>d’objectifs</w:t>
      </w:r>
      <w:r w:rsidRPr="00CC6AB9">
        <w:rPr>
          <w:rFonts w:ascii="Arial" w:eastAsia="Calibri" w:hAnsi="Arial" w:cs="Arial"/>
          <w:b/>
          <w:sz w:val="24"/>
          <w:szCs w:val="24"/>
          <w:lang w:eastAsia="fr-FR"/>
        </w:rPr>
        <w:t xml:space="preserve"> 2020-2022</w:t>
      </w:r>
    </w:p>
    <w:p w:rsidR="00CC6AB9" w:rsidRPr="00CC6AB9" w:rsidRDefault="00CC6AB9" w:rsidP="00CC6AB9">
      <w:pPr>
        <w:spacing w:after="0" w:line="240" w:lineRule="auto"/>
        <w:jc w:val="both"/>
        <w:rPr>
          <w:rFonts w:ascii="Times New Roman" w:eastAsia="Calibri" w:hAnsi="Times New Roman" w:cs="Times New Roman"/>
          <w:lang w:eastAsia="fr-FR"/>
        </w:rPr>
      </w:pPr>
      <w:r w:rsidRPr="00CC6AB9">
        <w:rPr>
          <w:rFonts w:ascii="Arial" w:eastAsia="Calibri" w:hAnsi="Arial" w:cs="Arial"/>
          <w:lang w:eastAsia="fr-FR"/>
        </w:rPr>
        <w:t xml:space="preserve">Par l’attribution d’une subvention de 874 607 euros sur la période 2020-2022, la Région souhaite continuer à accompagner le développement du pôle et lui permettre de poursuivre ses actions autour de 5 axes : </w:t>
      </w:r>
    </w:p>
    <w:p w:rsidR="00CC6AB9" w:rsidRPr="00CC6AB9" w:rsidRDefault="00CC6AB9" w:rsidP="00CC6AB9">
      <w:pPr>
        <w:autoSpaceDE w:val="0"/>
        <w:autoSpaceDN w:val="0"/>
        <w:spacing w:after="0" w:line="240" w:lineRule="auto"/>
        <w:jc w:val="both"/>
        <w:rPr>
          <w:rFonts w:ascii="Times New Roman" w:eastAsia="Calibri" w:hAnsi="Times New Roman" w:cs="Times New Roman"/>
          <w:lang w:eastAsia="fr-FR"/>
        </w:rPr>
      </w:pPr>
      <w:r w:rsidRPr="00CC6AB9">
        <w:rPr>
          <w:rFonts w:ascii="Arial" w:eastAsia="Calibri" w:hAnsi="Arial" w:cs="Arial"/>
          <w:lang w:eastAsia="ja-JP"/>
        </w:rPr>
        <w:t> </w:t>
      </w:r>
    </w:p>
    <w:p w:rsidR="00CC6AB9" w:rsidRPr="00CC6AB9" w:rsidRDefault="00CC6AB9" w:rsidP="00CC6AB9">
      <w:pPr>
        <w:numPr>
          <w:ilvl w:val="0"/>
          <w:numId w:val="3"/>
        </w:numPr>
        <w:autoSpaceDE w:val="0"/>
        <w:autoSpaceDN w:val="0"/>
        <w:spacing w:after="0" w:line="240" w:lineRule="auto"/>
        <w:contextualSpacing/>
        <w:jc w:val="both"/>
        <w:rPr>
          <w:rFonts w:ascii="Calibri" w:eastAsia="Calibri" w:hAnsi="Calibri" w:cs="Calibri"/>
        </w:rPr>
      </w:pPr>
      <w:r w:rsidRPr="00CC6AB9">
        <w:rPr>
          <w:rFonts w:ascii="Arial" w:eastAsia="Calibri" w:hAnsi="Arial" w:cs="Arial"/>
          <w:b/>
          <w:bCs/>
          <w:lang w:eastAsia="ja-JP"/>
        </w:rPr>
        <w:t>La gestion administrative et la stratégie du pôle</w:t>
      </w:r>
    </w:p>
    <w:p w:rsidR="00CC6AB9" w:rsidRPr="00CC6AB9" w:rsidRDefault="00CC6AB9" w:rsidP="00CC6AB9">
      <w:pPr>
        <w:autoSpaceDE w:val="0"/>
        <w:autoSpaceDN w:val="0"/>
        <w:spacing w:after="0" w:line="240" w:lineRule="auto"/>
        <w:jc w:val="both"/>
        <w:rPr>
          <w:rFonts w:ascii="Times New Roman" w:eastAsia="Calibri" w:hAnsi="Times New Roman" w:cs="Times New Roman"/>
          <w:lang w:eastAsia="fr-FR"/>
        </w:rPr>
      </w:pPr>
      <w:r w:rsidRPr="00CC6AB9">
        <w:rPr>
          <w:rFonts w:ascii="Arial" w:eastAsia="Calibri" w:hAnsi="Arial" w:cs="Arial"/>
          <w:color w:val="000000"/>
          <w:lang w:eastAsia="ja-JP"/>
        </w:rPr>
        <w:t>Il s’agit d’assurer le bon fonctionnement du pôle et la pérennisation des actions en s’intégrant dans une démarche plus collaborative avec les différents écosystèmes et en attirant de nouvelles activités sur le territoire normand. Pour devenir un acteur incontournable de l’innovation pour la filière équine, le pôle va bâtir une offre opérationnelle et mettre en place un modèle économique pérenne.</w:t>
      </w:r>
    </w:p>
    <w:p w:rsidR="00CC6AB9" w:rsidRPr="00CC6AB9" w:rsidRDefault="00CC6AB9" w:rsidP="00CC6AB9">
      <w:pPr>
        <w:autoSpaceDE w:val="0"/>
        <w:autoSpaceDN w:val="0"/>
        <w:spacing w:after="0" w:line="240" w:lineRule="auto"/>
        <w:jc w:val="both"/>
        <w:rPr>
          <w:rFonts w:ascii="Times New Roman" w:eastAsia="Calibri" w:hAnsi="Times New Roman" w:cs="Times New Roman"/>
          <w:lang w:eastAsia="fr-FR"/>
        </w:rPr>
      </w:pPr>
      <w:r w:rsidRPr="00CC6AB9">
        <w:rPr>
          <w:rFonts w:ascii="Arial" w:eastAsia="Calibri" w:hAnsi="Arial" w:cs="Arial"/>
          <w:color w:val="000000"/>
          <w:lang w:eastAsia="ja-JP"/>
        </w:rPr>
        <w:t> </w:t>
      </w:r>
    </w:p>
    <w:p w:rsidR="00CC6AB9" w:rsidRPr="00CC6AB9" w:rsidRDefault="00CC6AB9" w:rsidP="00CC6AB9">
      <w:pPr>
        <w:numPr>
          <w:ilvl w:val="0"/>
          <w:numId w:val="3"/>
        </w:numPr>
        <w:autoSpaceDE w:val="0"/>
        <w:autoSpaceDN w:val="0"/>
        <w:spacing w:after="0" w:line="240" w:lineRule="auto"/>
        <w:contextualSpacing/>
        <w:jc w:val="both"/>
        <w:rPr>
          <w:rFonts w:ascii="Calibri" w:eastAsia="Calibri" w:hAnsi="Calibri" w:cs="Calibri"/>
        </w:rPr>
      </w:pPr>
      <w:r w:rsidRPr="00CC6AB9">
        <w:rPr>
          <w:rFonts w:ascii="Arial" w:eastAsia="Calibri" w:hAnsi="Arial" w:cs="Arial"/>
          <w:b/>
          <w:bCs/>
          <w:lang w:eastAsia="ja-JP"/>
        </w:rPr>
        <w:t>L’intelligence économique</w:t>
      </w:r>
    </w:p>
    <w:p w:rsidR="00CC6AB9" w:rsidRPr="00CC6AB9" w:rsidRDefault="00CC6AB9" w:rsidP="00CC6AB9">
      <w:pPr>
        <w:autoSpaceDE w:val="0"/>
        <w:autoSpaceDN w:val="0"/>
        <w:spacing w:after="0" w:line="240" w:lineRule="auto"/>
        <w:jc w:val="both"/>
        <w:rPr>
          <w:rFonts w:ascii="Times New Roman" w:eastAsia="Calibri" w:hAnsi="Times New Roman" w:cs="Times New Roman"/>
          <w:lang w:eastAsia="fr-FR"/>
        </w:rPr>
      </w:pPr>
      <w:r w:rsidRPr="00CC6AB9">
        <w:rPr>
          <w:rFonts w:ascii="Arial" w:eastAsia="Calibri" w:hAnsi="Arial" w:cs="Arial"/>
          <w:color w:val="000000"/>
          <w:lang w:eastAsia="ja-JP"/>
        </w:rPr>
        <w:t xml:space="preserve">L’objectif est d’obtenir une vision globale du secteur dans le domaine économique et de diversifier les sources de financement privé. Des actions de sensibilisation et la diffusion de veilles stratégiques (fonds européens, juridique, international, marchés publics, etc.) seront mises en place ainsi que la création d’un panel consommateurs pour permettre aux membres de tester de nouveaux produits et/ou de faire tester leur produits.            </w:t>
      </w:r>
    </w:p>
    <w:p w:rsidR="00CC6AB9" w:rsidRPr="00CC6AB9" w:rsidRDefault="00CC6AB9" w:rsidP="00CC6AB9">
      <w:pPr>
        <w:autoSpaceDE w:val="0"/>
        <w:autoSpaceDN w:val="0"/>
        <w:spacing w:after="0" w:line="240" w:lineRule="auto"/>
        <w:jc w:val="both"/>
        <w:rPr>
          <w:rFonts w:ascii="Times New Roman" w:eastAsia="Calibri" w:hAnsi="Times New Roman" w:cs="Times New Roman"/>
          <w:lang w:eastAsia="fr-FR"/>
        </w:rPr>
      </w:pPr>
      <w:r w:rsidRPr="00CC6AB9">
        <w:rPr>
          <w:rFonts w:ascii="Arial" w:eastAsia="Calibri" w:hAnsi="Arial" w:cs="Arial"/>
          <w:color w:val="000000"/>
          <w:lang w:eastAsia="ja-JP"/>
        </w:rPr>
        <w:t> </w:t>
      </w:r>
    </w:p>
    <w:p w:rsidR="00CC6AB9" w:rsidRPr="00CC6AB9" w:rsidRDefault="00CC6AB9" w:rsidP="00CC6AB9">
      <w:pPr>
        <w:numPr>
          <w:ilvl w:val="0"/>
          <w:numId w:val="3"/>
        </w:numPr>
        <w:autoSpaceDE w:val="0"/>
        <w:autoSpaceDN w:val="0"/>
        <w:spacing w:after="0" w:line="240" w:lineRule="auto"/>
        <w:contextualSpacing/>
        <w:jc w:val="both"/>
        <w:rPr>
          <w:rFonts w:ascii="Calibri" w:eastAsia="Calibri" w:hAnsi="Calibri" w:cs="Calibri"/>
        </w:rPr>
      </w:pPr>
      <w:r w:rsidRPr="00CC6AB9">
        <w:rPr>
          <w:rFonts w:ascii="Arial" w:eastAsia="Calibri" w:hAnsi="Arial" w:cs="Arial"/>
          <w:b/>
          <w:bCs/>
          <w:lang w:eastAsia="ja-JP"/>
        </w:rPr>
        <w:t xml:space="preserve">La communication et les réseaux </w:t>
      </w:r>
    </w:p>
    <w:p w:rsidR="00CC6AB9" w:rsidRPr="00CC6AB9" w:rsidRDefault="00CC6AB9" w:rsidP="00CC6AB9">
      <w:pPr>
        <w:autoSpaceDE w:val="0"/>
        <w:autoSpaceDN w:val="0"/>
        <w:spacing w:after="0" w:line="240" w:lineRule="auto"/>
        <w:jc w:val="both"/>
        <w:rPr>
          <w:rFonts w:ascii="Times New Roman" w:eastAsia="Calibri" w:hAnsi="Times New Roman" w:cs="Times New Roman"/>
          <w:lang w:eastAsia="fr-FR"/>
        </w:rPr>
      </w:pPr>
      <w:r w:rsidRPr="00CC6AB9">
        <w:rPr>
          <w:rFonts w:ascii="Arial" w:eastAsia="Calibri" w:hAnsi="Arial" w:cs="Arial"/>
          <w:color w:val="000000"/>
          <w:lang w:eastAsia="ja-JP"/>
        </w:rPr>
        <w:t xml:space="preserve">L’objectif est de mettre en place une dynamique économique collective afin de créer des passerelles avec l’industrie et les entreprises technologiques tout en continuant de développer la notoriété du pôle </w:t>
      </w:r>
      <w:proofErr w:type="spellStart"/>
      <w:r w:rsidRPr="00CC6AB9">
        <w:rPr>
          <w:rFonts w:ascii="Arial" w:eastAsia="Calibri" w:hAnsi="Arial" w:cs="Arial"/>
          <w:color w:val="000000"/>
          <w:lang w:eastAsia="ja-JP"/>
        </w:rPr>
        <w:t>Hippolia</w:t>
      </w:r>
      <w:proofErr w:type="spellEnd"/>
      <w:r w:rsidRPr="00CC6AB9">
        <w:rPr>
          <w:rFonts w:ascii="Arial" w:eastAsia="Calibri" w:hAnsi="Arial" w:cs="Arial"/>
          <w:color w:val="000000"/>
          <w:lang w:eastAsia="ja-JP"/>
        </w:rPr>
        <w:t xml:space="preserve"> comme acteur de l’innovation dans la filière équine. Parmi les actions proposées par le pôle </w:t>
      </w:r>
      <w:proofErr w:type="spellStart"/>
      <w:r w:rsidRPr="00CC6AB9">
        <w:rPr>
          <w:rFonts w:ascii="Arial" w:eastAsia="Calibri" w:hAnsi="Arial" w:cs="Arial"/>
          <w:color w:val="000000"/>
          <w:lang w:eastAsia="ja-JP"/>
        </w:rPr>
        <w:t>Hippolia</w:t>
      </w:r>
      <w:proofErr w:type="spellEnd"/>
      <w:r w:rsidRPr="00CC6AB9">
        <w:rPr>
          <w:rFonts w:ascii="Arial" w:eastAsia="Calibri" w:hAnsi="Arial" w:cs="Arial"/>
          <w:color w:val="000000"/>
          <w:lang w:eastAsia="ja-JP"/>
        </w:rPr>
        <w:t xml:space="preserve">, il y a entre autres des rencontres et ateliers </w:t>
      </w:r>
      <w:proofErr w:type="spellStart"/>
      <w:r w:rsidRPr="00CC6AB9">
        <w:rPr>
          <w:rFonts w:ascii="Arial" w:eastAsia="Calibri" w:hAnsi="Arial" w:cs="Arial"/>
          <w:color w:val="000000"/>
          <w:lang w:eastAsia="ja-JP"/>
        </w:rPr>
        <w:t>BtoB</w:t>
      </w:r>
      <w:proofErr w:type="spellEnd"/>
      <w:r w:rsidRPr="00CC6AB9">
        <w:rPr>
          <w:rFonts w:ascii="Arial" w:eastAsia="Calibri" w:hAnsi="Arial" w:cs="Arial"/>
          <w:color w:val="000000"/>
          <w:lang w:eastAsia="ja-JP"/>
        </w:rPr>
        <w:t xml:space="preserve">, des actions visant à diversifier la nature des adhérents du pôle, et la promotion des actions du pôle et de ses partenaires via divers canaux de diffusion.  </w:t>
      </w:r>
    </w:p>
    <w:p w:rsidR="00CC6AB9" w:rsidRPr="00CC6AB9" w:rsidRDefault="00CC6AB9" w:rsidP="00CC6AB9">
      <w:pPr>
        <w:autoSpaceDE w:val="0"/>
        <w:autoSpaceDN w:val="0"/>
        <w:spacing w:after="0" w:line="240" w:lineRule="auto"/>
        <w:jc w:val="both"/>
        <w:rPr>
          <w:rFonts w:ascii="Times New Roman" w:eastAsia="Calibri" w:hAnsi="Times New Roman" w:cs="Times New Roman"/>
          <w:lang w:eastAsia="fr-FR"/>
        </w:rPr>
      </w:pPr>
      <w:r w:rsidRPr="00CC6AB9">
        <w:rPr>
          <w:rFonts w:ascii="Arial" w:eastAsia="Calibri" w:hAnsi="Arial" w:cs="Arial"/>
          <w:color w:val="000000"/>
          <w:lang w:eastAsia="ja-JP"/>
        </w:rPr>
        <w:t> </w:t>
      </w:r>
    </w:p>
    <w:p w:rsidR="00CC6AB9" w:rsidRPr="00CC6AB9" w:rsidRDefault="00CC6AB9" w:rsidP="00CC6AB9">
      <w:pPr>
        <w:numPr>
          <w:ilvl w:val="0"/>
          <w:numId w:val="3"/>
        </w:numPr>
        <w:autoSpaceDE w:val="0"/>
        <w:autoSpaceDN w:val="0"/>
        <w:spacing w:after="0" w:line="240" w:lineRule="auto"/>
        <w:contextualSpacing/>
        <w:jc w:val="both"/>
        <w:rPr>
          <w:rFonts w:ascii="Calibri" w:eastAsia="Calibri" w:hAnsi="Calibri" w:cs="Calibri"/>
        </w:rPr>
      </w:pPr>
      <w:r w:rsidRPr="00CC6AB9">
        <w:rPr>
          <w:rFonts w:ascii="Arial" w:eastAsia="Calibri" w:hAnsi="Arial" w:cs="Arial"/>
          <w:b/>
          <w:bCs/>
          <w:color w:val="000000"/>
          <w:lang w:eastAsia="ja-JP"/>
        </w:rPr>
        <w:t>La recherche et l’innovation</w:t>
      </w:r>
    </w:p>
    <w:p w:rsidR="00CC6AB9" w:rsidRPr="00CC6AB9" w:rsidRDefault="00CC6AB9" w:rsidP="00CC6AB9">
      <w:pPr>
        <w:autoSpaceDE w:val="0"/>
        <w:autoSpaceDN w:val="0"/>
        <w:spacing w:after="0" w:line="240" w:lineRule="auto"/>
        <w:jc w:val="both"/>
        <w:rPr>
          <w:rFonts w:ascii="Times New Roman" w:eastAsia="Calibri" w:hAnsi="Times New Roman" w:cs="Times New Roman"/>
          <w:lang w:eastAsia="fr-FR"/>
        </w:rPr>
      </w:pPr>
      <w:r w:rsidRPr="00CC6AB9">
        <w:rPr>
          <w:rFonts w:ascii="Arial" w:eastAsia="Calibri" w:hAnsi="Arial" w:cs="Arial"/>
          <w:color w:val="000000"/>
          <w:lang w:eastAsia="ja-JP"/>
        </w:rPr>
        <w:t xml:space="preserve">Il s’agit d’optimiser les chances de développement et de succès des projets de R&amp;D et d’innovation par la détection, l’aide à l’émergence et l’accompagnement de solutions innovantes. Plusieurs actions répondent à cette ambition, comme le déploiement de l’offre </w:t>
      </w:r>
      <w:r w:rsidRPr="00CC6AB9">
        <w:rPr>
          <w:rFonts w:ascii="Arial" w:eastAsia="Calibri" w:hAnsi="Arial" w:cs="Arial"/>
          <w:color w:val="000000"/>
          <w:lang w:eastAsia="ja-JP"/>
        </w:rPr>
        <w:br/>
        <w:t xml:space="preserve">« Recherche » favorisant la relation entre les centres techniques de R&amp;D, les PME innovantes et l’écosystème ainsi que la montée en compétence des équipes en interne pour mieux </w:t>
      </w:r>
      <w:r w:rsidRPr="00CC6AB9">
        <w:rPr>
          <w:rFonts w:ascii="Arial" w:eastAsia="Calibri" w:hAnsi="Arial" w:cs="Arial"/>
          <w:color w:val="000000"/>
          <w:lang w:eastAsia="ja-JP"/>
        </w:rPr>
        <w:lastRenderedPageBreak/>
        <w:t>accompagner les porteurs de projets dans leur rédaction de dossiers de financements, entre autres.</w:t>
      </w:r>
    </w:p>
    <w:p w:rsidR="00CC6AB9" w:rsidRPr="00CC6AB9" w:rsidRDefault="00CC6AB9" w:rsidP="00CC6AB9">
      <w:pPr>
        <w:autoSpaceDE w:val="0"/>
        <w:autoSpaceDN w:val="0"/>
        <w:spacing w:after="0" w:line="240" w:lineRule="auto"/>
        <w:jc w:val="both"/>
        <w:rPr>
          <w:rFonts w:ascii="Times New Roman" w:eastAsia="Calibri" w:hAnsi="Times New Roman" w:cs="Times New Roman"/>
          <w:lang w:eastAsia="fr-FR"/>
        </w:rPr>
      </w:pPr>
      <w:r w:rsidRPr="00CC6AB9">
        <w:rPr>
          <w:rFonts w:ascii="Arial" w:eastAsia="Calibri" w:hAnsi="Arial" w:cs="Arial"/>
          <w:color w:val="000000"/>
          <w:lang w:eastAsia="ja-JP"/>
        </w:rPr>
        <w:t> </w:t>
      </w:r>
    </w:p>
    <w:p w:rsidR="00CC6AB9" w:rsidRPr="00CC6AB9" w:rsidRDefault="00CC6AB9" w:rsidP="00CC6AB9">
      <w:pPr>
        <w:numPr>
          <w:ilvl w:val="0"/>
          <w:numId w:val="3"/>
        </w:numPr>
        <w:autoSpaceDE w:val="0"/>
        <w:autoSpaceDN w:val="0"/>
        <w:spacing w:after="0" w:line="240" w:lineRule="auto"/>
        <w:contextualSpacing/>
        <w:jc w:val="both"/>
        <w:rPr>
          <w:rFonts w:ascii="Calibri" w:eastAsia="Calibri" w:hAnsi="Calibri" w:cs="Calibri"/>
        </w:rPr>
      </w:pPr>
      <w:r w:rsidRPr="00CC6AB9">
        <w:rPr>
          <w:rFonts w:ascii="Arial" w:eastAsia="Calibri" w:hAnsi="Arial" w:cs="Arial"/>
          <w:b/>
          <w:bCs/>
          <w:color w:val="000000"/>
          <w:lang w:eastAsia="ja-JP"/>
        </w:rPr>
        <w:t>Le développement commercial</w:t>
      </w:r>
    </w:p>
    <w:p w:rsidR="00CC6AB9" w:rsidRPr="00CC6AB9" w:rsidRDefault="00CC6AB9" w:rsidP="00CC6AB9">
      <w:pPr>
        <w:autoSpaceDE w:val="0"/>
        <w:autoSpaceDN w:val="0"/>
        <w:spacing w:after="0" w:line="240" w:lineRule="auto"/>
        <w:jc w:val="both"/>
        <w:rPr>
          <w:rFonts w:ascii="Arial" w:eastAsia="Calibri" w:hAnsi="Arial" w:cs="Arial"/>
          <w:color w:val="000000"/>
          <w:lang w:eastAsia="ja-JP"/>
        </w:rPr>
      </w:pPr>
      <w:r w:rsidRPr="00CC6AB9">
        <w:rPr>
          <w:rFonts w:ascii="Arial" w:eastAsia="Calibri" w:hAnsi="Arial" w:cs="Arial"/>
          <w:color w:val="000000"/>
          <w:lang w:eastAsia="ja-JP"/>
        </w:rPr>
        <w:t xml:space="preserve">L’objectif est de promouvoir l’innovation de la filière auprès du grand public notamment via l’organisation et la </w:t>
      </w:r>
      <w:proofErr w:type="spellStart"/>
      <w:r w:rsidRPr="00CC6AB9">
        <w:rPr>
          <w:rFonts w:ascii="Arial" w:eastAsia="Calibri" w:hAnsi="Arial" w:cs="Arial"/>
          <w:color w:val="000000"/>
          <w:lang w:eastAsia="ja-JP"/>
        </w:rPr>
        <w:t>co</w:t>
      </w:r>
      <w:proofErr w:type="spellEnd"/>
      <w:r w:rsidRPr="00CC6AB9">
        <w:rPr>
          <w:rFonts w:ascii="Arial" w:eastAsia="Calibri" w:hAnsi="Arial" w:cs="Arial"/>
          <w:color w:val="000000"/>
          <w:lang w:eastAsia="ja-JP"/>
        </w:rPr>
        <w:t>-organisation d’espaces « innovation » sur des évènements clés de la filière et accroitre la part du chiffre d’affaires à l’export des membres en détectant des opportunités commerciales à l’international et en apportant plus de visibilité à la filière et à ses membres.</w:t>
      </w:r>
    </w:p>
    <w:p w:rsidR="00CC6AB9" w:rsidRDefault="00CC6AB9" w:rsidP="00CC6AB9">
      <w:pPr>
        <w:autoSpaceDE w:val="0"/>
        <w:autoSpaceDN w:val="0"/>
        <w:spacing w:after="0" w:line="240" w:lineRule="auto"/>
        <w:jc w:val="both"/>
        <w:rPr>
          <w:rFonts w:ascii="Arial" w:eastAsia="Calibri" w:hAnsi="Arial" w:cs="Arial"/>
          <w:b/>
          <w:color w:val="000000"/>
          <w:sz w:val="24"/>
          <w:lang w:eastAsia="ja-JP"/>
        </w:rPr>
      </w:pPr>
    </w:p>
    <w:p w:rsidR="00CC6AB9" w:rsidRPr="00FB6086" w:rsidRDefault="00CC6AB9" w:rsidP="00FB6086">
      <w:pPr>
        <w:autoSpaceDE w:val="0"/>
        <w:autoSpaceDN w:val="0"/>
        <w:spacing w:after="120" w:line="240" w:lineRule="auto"/>
        <w:jc w:val="both"/>
        <w:rPr>
          <w:rFonts w:ascii="Arial" w:eastAsia="Calibri" w:hAnsi="Arial" w:cs="Arial"/>
          <w:b/>
          <w:color w:val="000000"/>
          <w:sz w:val="24"/>
          <w:lang w:eastAsia="ja-JP"/>
        </w:rPr>
      </w:pPr>
      <w:r w:rsidRPr="00CC6AB9">
        <w:rPr>
          <w:rFonts w:ascii="Arial" w:eastAsia="Calibri" w:hAnsi="Arial" w:cs="Arial"/>
          <w:b/>
          <w:color w:val="000000"/>
          <w:sz w:val="24"/>
          <w:lang w:eastAsia="ja-JP"/>
        </w:rPr>
        <w:t xml:space="preserve">La Région Normandie, premier partenaire public au côté de la filière équine </w:t>
      </w:r>
    </w:p>
    <w:p w:rsidR="00FB6086" w:rsidRDefault="00FB6086" w:rsidP="00FB6086">
      <w:pPr>
        <w:spacing w:after="0" w:line="240" w:lineRule="auto"/>
        <w:jc w:val="both"/>
        <w:rPr>
          <w:rFonts w:ascii="Arial" w:hAnsi="Arial" w:cs="Arial"/>
          <w:iCs/>
        </w:rPr>
      </w:pPr>
      <w:r>
        <w:rPr>
          <w:rFonts w:ascii="Arial" w:hAnsi="Arial" w:cs="Arial"/>
          <w:iCs/>
        </w:rPr>
        <w:t>L</w:t>
      </w:r>
      <w:r w:rsidR="00CC6AB9" w:rsidRPr="00CC6AB9">
        <w:rPr>
          <w:rFonts w:ascii="Arial" w:hAnsi="Arial" w:cs="Arial"/>
          <w:iCs/>
        </w:rPr>
        <w:t xml:space="preserve">a Région </w:t>
      </w:r>
      <w:r>
        <w:rPr>
          <w:rFonts w:ascii="Arial" w:hAnsi="Arial" w:cs="Arial"/>
          <w:iCs/>
        </w:rPr>
        <w:t>mobilise</w:t>
      </w:r>
      <w:r w:rsidR="00CC6AB9" w:rsidRPr="00CC6AB9">
        <w:rPr>
          <w:rFonts w:ascii="Arial" w:hAnsi="Arial" w:cs="Arial"/>
          <w:iCs/>
        </w:rPr>
        <w:t xml:space="preserve"> chaque année plus de 6 millions d’euros </w:t>
      </w:r>
      <w:r>
        <w:rPr>
          <w:rFonts w:ascii="Arial" w:hAnsi="Arial" w:cs="Arial"/>
          <w:iCs/>
        </w:rPr>
        <w:t xml:space="preserve"> pour </w:t>
      </w:r>
      <w:r w:rsidR="001801EB">
        <w:rPr>
          <w:rFonts w:ascii="Arial" w:hAnsi="Arial" w:cs="Arial"/>
          <w:iCs/>
        </w:rPr>
        <w:t xml:space="preserve">affirmer au niveau mondial </w:t>
      </w:r>
      <w:r w:rsidRPr="00FB6086">
        <w:rPr>
          <w:rFonts w:ascii="Arial" w:hAnsi="Arial" w:cs="Arial"/>
          <w:iCs/>
        </w:rPr>
        <w:t>la place de la Nor</w:t>
      </w:r>
      <w:r>
        <w:rPr>
          <w:rFonts w:ascii="Arial" w:hAnsi="Arial" w:cs="Arial"/>
          <w:iCs/>
        </w:rPr>
        <w:t xml:space="preserve">mandie comme terre d’excellence </w:t>
      </w:r>
      <w:r w:rsidRPr="00FB6086">
        <w:rPr>
          <w:rFonts w:ascii="Arial" w:hAnsi="Arial" w:cs="Arial"/>
          <w:iCs/>
        </w:rPr>
        <w:t>du cheval, en s’appuyan</w:t>
      </w:r>
      <w:r>
        <w:rPr>
          <w:rFonts w:ascii="Arial" w:hAnsi="Arial" w:cs="Arial"/>
          <w:iCs/>
        </w:rPr>
        <w:t xml:space="preserve">t sur ses domaines de référence </w:t>
      </w:r>
      <w:r w:rsidRPr="00FB6086">
        <w:rPr>
          <w:rFonts w:ascii="Arial" w:hAnsi="Arial" w:cs="Arial"/>
          <w:iCs/>
        </w:rPr>
        <w:t>(l'élevage, les champion</w:t>
      </w:r>
      <w:r>
        <w:rPr>
          <w:rFonts w:ascii="Arial" w:hAnsi="Arial" w:cs="Arial"/>
          <w:iCs/>
        </w:rPr>
        <w:t xml:space="preserve">s, la recherche, les événements </w:t>
      </w:r>
      <w:r w:rsidRPr="00FB6086">
        <w:rPr>
          <w:rFonts w:ascii="Arial" w:hAnsi="Arial" w:cs="Arial"/>
          <w:iCs/>
        </w:rPr>
        <w:t>équestres) et ses sites phare</w:t>
      </w:r>
      <w:r>
        <w:rPr>
          <w:rFonts w:ascii="Arial" w:hAnsi="Arial" w:cs="Arial"/>
          <w:iCs/>
        </w:rPr>
        <w:t xml:space="preserve">s (Deauville, Haras national du </w:t>
      </w:r>
      <w:r w:rsidRPr="00FB6086">
        <w:rPr>
          <w:rFonts w:ascii="Arial" w:hAnsi="Arial" w:cs="Arial"/>
          <w:iCs/>
        </w:rPr>
        <w:t>Pin, Pôle hippique de Saint</w:t>
      </w:r>
      <w:r>
        <w:rPr>
          <w:rFonts w:ascii="Arial" w:hAnsi="Arial" w:cs="Arial"/>
          <w:iCs/>
        </w:rPr>
        <w:t xml:space="preserve">-Lô, Centre européen du Cheval) </w:t>
      </w:r>
      <w:r w:rsidRPr="00FB6086">
        <w:rPr>
          <w:rFonts w:ascii="Arial" w:hAnsi="Arial" w:cs="Arial"/>
          <w:iCs/>
        </w:rPr>
        <w:t>pour conquérir de nouvea</w:t>
      </w:r>
      <w:r>
        <w:rPr>
          <w:rFonts w:ascii="Arial" w:hAnsi="Arial" w:cs="Arial"/>
          <w:iCs/>
        </w:rPr>
        <w:t xml:space="preserve">ux marchés à l’international et </w:t>
      </w:r>
      <w:r w:rsidRPr="00FB6086">
        <w:rPr>
          <w:rFonts w:ascii="Arial" w:hAnsi="Arial" w:cs="Arial"/>
          <w:iCs/>
        </w:rPr>
        <w:t>renforcer l’attractivité de la Normandie.</w:t>
      </w:r>
    </w:p>
    <w:p w:rsidR="00FB6086" w:rsidRPr="00F95052" w:rsidRDefault="00FB6086" w:rsidP="00CC6AB9">
      <w:pPr>
        <w:spacing w:after="0" w:line="240" w:lineRule="auto"/>
        <w:jc w:val="both"/>
        <w:rPr>
          <w:rFonts w:ascii="Arial" w:hAnsi="Arial" w:cs="Arial"/>
          <w:iCs/>
        </w:rPr>
      </w:pPr>
    </w:p>
    <w:p w:rsidR="00FB6086" w:rsidRDefault="00FB6086" w:rsidP="00CC6AB9">
      <w:pPr>
        <w:spacing w:after="0" w:line="240" w:lineRule="auto"/>
        <w:jc w:val="both"/>
        <w:rPr>
          <w:rFonts w:ascii="Arial" w:hAnsi="Arial" w:cs="Arial"/>
          <w:iCs/>
        </w:rPr>
      </w:pPr>
      <w:r w:rsidRPr="00F95052">
        <w:rPr>
          <w:rFonts w:ascii="Arial" w:hAnsi="Arial" w:cs="Arial"/>
          <w:iCs/>
        </w:rPr>
        <w:t>Dans cette volonté de viser l’excellence, la Région porte notamment</w:t>
      </w:r>
      <w:r w:rsidR="00CC6AB9" w:rsidRPr="00F95052">
        <w:rPr>
          <w:rFonts w:ascii="Arial" w:hAnsi="Arial" w:cs="Arial"/>
          <w:iCs/>
        </w:rPr>
        <w:t xml:space="preserve">, à travers Normandie Equine Vallée, </w:t>
      </w:r>
      <w:r w:rsidRPr="00F95052">
        <w:rPr>
          <w:rFonts w:ascii="Arial" w:hAnsi="Arial" w:cs="Arial"/>
          <w:iCs/>
        </w:rPr>
        <w:t>un important</w:t>
      </w:r>
      <w:r w:rsidR="00CC6AB9" w:rsidRPr="00F95052">
        <w:rPr>
          <w:rFonts w:ascii="Arial" w:hAnsi="Arial" w:cs="Arial"/>
          <w:iCs/>
        </w:rPr>
        <w:t xml:space="preserve"> projet </w:t>
      </w:r>
      <w:r w:rsidR="00F95052">
        <w:rPr>
          <w:rFonts w:ascii="Arial" w:hAnsi="Arial" w:cs="Arial"/>
          <w:iCs/>
        </w:rPr>
        <w:t>de</w:t>
      </w:r>
      <w:r w:rsidR="00CC6AB9" w:rsidRPr="00F95052">
        <w:rPr>
          <w:rFonts w:ascii="Arial" w:hAnsi="Arial" w:cs="Arial"/>
          <w:iCs/>
        </w:rPr>
        <w:t xml:space="preserve"> campus équin international</w:t>
      </w:r>
      <w:r w:rsidRPr="00F95052">
        <w:rPr>
          <w:rFonts w:ascii="Arial" w:hAnsi="Arial" w:cs="Arial"/>
          <w:iCs/>
        </w:rPr>
        <w:t xml:space="preserve"> à </w:t>
      </w:r>
      <w:proofErr w:type="spellStart"/>
      <w:r w:rsidRPr="00F95052">
        <w:rPr>
          <w:rFonts w:ascii="Arial" w:hAnsi="Arial" w:cs="Arial"/>
          <w:iCs/>
        </w:rPr>
        <w:t>Goustranville</w:t>
      </w:r>
      <w:proofErr w:type="spellEnd"/>
      <w:r w:rsidRPr="00F95052">
        <w:rPr>
          <w:rFonts w:ascii="Arial" w:hAnsi="Arial" w:cs="Arial"/>
          <w:iCs/>
        </w:rPr>
        <w:t xml:space="preserve">. Financé à hauteur de 30 millions d’euros par la </w:t>
      </w:r>
      <w:r w:rsidR="00F95052">
        <w:rPr>
          <w:rFonts w:ascii="Arial" w:hAnsi="Arial" w:cs="Arial"/>
          <w:iCs/>
        </w:rPr>
        <w:t>Région</w:t>
      </w:r>
      <w:r w:rsidRPr="00F95052">
        <w:rPr>
          <w:rFonts w:ascii="Arial" w:hAnsi="Arial" w:cs="Arial"/>
          <w:iCs/>
        </w:rPr>
        <w:t>, celui-ci doit notamment permettre l’accueil du Centre hospitalier universitaire vétérinaire Equin (</w:t>
      </w:r>
      <w:proofErr w:type="spellStart"/>
      <w:r w:rsidRPr="00F95052">
        <w:rPr>
          <w:rFonts w:ascii="Arial" w:hAnsi="Arial" w:cs="Arial"/>
          <w:iCs/>
        </w:rPr>
        <w:t>ChuvÉquin</w:t>
      </w:r>
      <w:proofErr w:type="spellEnd"/>
      <w:r w:rsidRPr="00F95052">
        <w:rPr>
          <w:rFonts w:ascii="Arial" w:hAnsi="Arial" w:cs="Arial"/>
          <w:iCs/>
        </w:rPr>
        <w:t>) de l'Ecole nationale vétérinaire d'Alfort (</w:t>
      </w:r>
      <w:proofErr w:type="spellStart"/>
      <w:r w:rsidRPr="00F95052">
        <w:rPr>
          <w:rFonts w:ascii="Arial" w:hAnsi="Arial" w:cs="Arial"/>
          <w:iCs/>
        </w:rPr>
        <w:t>EnvA</w:t>
      </w:r>
      <w:proofErr w:type="spellEnd"/>
      <w:r w:rsidRPr="00F95052">
        <w:rPr>
          <w:rFonts w:ascii="Arial" w:hAnsi="Arial" w:cs="Arial"/>
          <w:iCs/>
        </w:rPr>
        <w:t>).</w:t>
      </w:r>
    </w:p>
    <w:p w:rsidR="00F95052" w:rsidRDefault="00F95052" w:rsidP="00CC6AB9">
      <w:pPr>
        <w:spacing w:after="0" w:line="240" w:lineRule="auto"/>
        <w:jc w:val="both"/>
        <w:rPr>
          <w:rFonts w:ascii="Arial" w:hAnsi="Arial" w:cs="Arial"/>
          <w:iCs/>
        </w:rPr>
      </w:pPr>
    </w:p>
    <w:p w:rsidR="00F95052" w:rsidRPr="00F95052" w:rsidRDefault="00F95052" w:rsidP="00CC6AB9">
      <w:pPr>
        <w:spacing w:after="0" w:line="240" w:lineRule="auto"/>
        <w:jc w:val="both"/>
        <w:rPr>
          <w:rFonts w:ascii="Arial" w:hAnsi="Arial" w:cs="Arial"/>
          <w:iCs/>
        </w:rPr>
      </w:pPr>
    </w:p>
    <w:p w:rsidR="00CC6AB9" w:rsidRPr="00CC6AB9" w:rsidRDefault="00CC6AB9" w:rsidP="00CC6AB9">
      <w:pPr>
        <w:spacing w:after="120" w:line="240" w:lineRule="auto"/>
        <w:jc w:val="both"/>
        <w:rPr>
          <w:rFonts w:ascii="Calibri" w:eastAsia="Calibri" w:hAnsi="Calibri" w:cs="Calibri"/>
          <w:lang w:eastAsia="fr-FR"/>
        </w:rPr>
      </w:pPr>
      <w:r w:rsidRPr="00E56C4B">
        <w:rPr>
          <w:rFonts w:ascii="Arial" w:hAnsi="Arial" w:cs="Arial"/>
          <w:bCs/>
          <w:noProof/>
          <w:szCs w:val="24"/>
          <w:lang w:eastAsia="fr-FR"/>
        </w:rPr>
        <mc:AlternateContent>
          <mc:Choice Requires="wps">
            <w:drawing>
              <wp:inline distT="0" distB="0" distL="0" distR="0" wp14:anchorId="40DE4DA1" wp14:editId="2B54ED56">
                <wp:extent cx="5760720" cy="2581275"/>
                <wp:effectExtent l="0" t="0" r="0" b="9525"/>
                <wp:docPr id="118" name="Rogner un rectangle à un seul coin 118"/>
                <wp:cNvGraphicFramePr/>
                <a:graphic xmlns:a="http://schemas.openxmlformats.org/drawingml/2006/main">
                  <a:graphicData uri="http://schemas.microsoft.com/office/word/2010/wordprocessingShape">
                    <wps:wsp>
                      <wps:cNvSpPr/>
                      <wps:spPr>
                        <a:xfrm>
                          <a:off x="0" y="0"/>
                          <a:ext cx="5760720" cy="2581275"/>
                        </a:xfrm>
                        <a:prstGeom prst="snip1Rect">
                          <a:avLst/>
                        </a:prstGeom>
                        <a:gradFill flip="none" rotWithShape="1">
                          <a:gsLst>
                            <a:gs pos="0">
                              <a:srgbClr val="44546A">
                                <a:lumMod val="60000"/>
                                <a:lumOff val="40000"/>
                                <a:alpha val="20000"/>
                              </a:srgbClr>
                            </a:gs>
                            <a:gs pos="100000">
                              <a:srgbClr val="44546A">
                                <a:lumMod val="20000"/>
                                <a:lumOff val="80000"/>
                                <a:alpha val="20000"/>
                              </a:srgbClr>
                            </a:gs>
                          </a:gsLst>
                          <a:lin ang="5400000" scaled="0"/>
                          <a:tileRect/>
                        </a:gradFill>
                        <a:ln w="12700" cap="flat" cmpd="sng" algn="ctr">
                          <a:noFill/>
                          <a:prstDash val="solid"/>
                          <a:miter lim="800000"/>
                        </a:ln>
                        <a:effectLst/>
                      </wps:spPr>
                      <wps:txbx>
                        <w:txbxContent>
                          <w:p w:rsidR="00CC6AB9" w:rsidRPr="00EC66E1" w:rsidRDefault="00CC6AB9" w:rsidP="00CC6AB9">
                            <w:pPr>
                              <w:spacing w:after="120" w:line="240" w:lineRule="auto"/>
                              <w:jc w:val="center"/>
                              <w:rPr>
                                <w:rFonts w:ascii="Arial" w:hAnsi="Arial" w:cs="Arial"/>
                                <w:b/>
                                <w:color w:val="44546A" w:themeColor="text2"/>
                              </w:rPr>
                            </w:pPr>
                            <w:r w:rsidRPr="00EC66E1">
                              <w:rPr>
                                <w:rFonts w:ascii="Arial" w:hAnsi="Arial" w:cs="Arial"/>
                                <w:b/>
                                <w:color w:val="44546A" w:themeColor="text2"/>
                              </w:rPr>
                              <w:t>Les chiffres-clés de la filière équine en Normandie</w:t>
                            </w:r>
                          </w:p>
                          <w:p w:rsidR="00CC6AB9" w:rsidRPr="00EC66E1" w:rsidRDefault="00CC6AB9" w:rsidP="00CC6AB9">
                            <w:pPr>
                              <w:spacing w:after="0" w:line="240" w:lineRule="auto"/>
                              <w:rPr>
                                <w:rFonts w:ascii="Arial" w:hAnsi="Arial" w:cs="Arial"/>
                                <w:color w:val="222A35" w:themeColor="text2" w:themeShade="80"/>
                              </w:rPr>
                            </w:pPr>
                            <w:r w:rsidRPr="00EC66E1">
                              <w:rPr>
                                <w:rFonts w:ascii="Arial" w:hAnsi="Arial" w:cs="Arial"/>
                                <w:color w:val="44546A" w:themeColor="text2"/>
                              </w:rPr>
                              <w:t xml:space="preserve">- </w:t>
                            </w:r>
                            <w:r w:rsidRPr="00EC66E1">
                              <w:rPr>
                                <w:rFonts w:ascii="Arial" w:hAnsi="Arial" w:cs="Arial"/>
                                <w:color w:val="222A35" w:themeColor="text2" w:themeShade="80"/>
                              </w:rPr>
                              <w:t>1</w:t>
                            </w:r>
                            <w:r w:rsidRPr="00EC66E1">
                              <w:rPr>
                                <w:rFonts w:ascii="Arial" w:hAnsi="Arial" w:cs="Arial"/>
                                <w:color w:val="222A35" w:themeColor="text2" w:themeShade="80"/>
                                <w:vertAlign w:val="superscript"/>
                              </w:rPr>
                              <w:t xml:space="preserve">ère </w:t>
                            </w:r>
                            <w:r w:rsidRPr="00EC66E1">
                              <w:rPr>
                                <w:rFonts w:ascii="Arial" w:hAnsi="Arial" w:cs="Arial"/>
                                <w:color w:val="222A35" w:themeColor="text2" w:themeShade="80"/>
                              </w:rPr>
                              <w:t xml:space="preserve"> région d’élevage</w:t>
                            </w:r>
                          </w:p>
                          <w:p w:rsidR="00CC6AB9" w:rsidRPr="00EC66E1" w:rsidRDefault="00CC6AB9" w:rsidP="00CC6AB9">
                            <w:pPr>
                              <w:spacing w:after="0" w:line="240" w:lineRule="auto"/>
                              <w:rPr>
                                <w:rFonts w:ascii="Arial" w:hAnsi="Arial" w:cs="Arial"/>
                                <w:color w:val="222A35" w:themeColor="text2" w:themeShade="80"/>
                              </w:rPr>
                            </w:pPr>
                            <w:r w:rsidRPr="00EC66E1">
                              <w:rPr>
                                <w:rFonts w:ascii="Arial" w:hAnsi="Arial" w:cs="Arial"/>
                                <w:color w:val="222A35" w:themeColor="text2" w:themeShade="80"/>
                              </w:rPr>
                              <w:t>- 1</w:t>
                            </w:r>
                            <w:r w:rsidRPr="00EC66E1">
                              <w:rPr>
                                <w:rFonts w:ascii="Arial" w:hAnsi="Arial" w:cs="Arial"/>
                                <w:color w:val="222A35" w:themeColor="text2" w:themeShade="80"/>
                                <w:vertAlign w:val="superscript"/>
                              </w:rPr>
                              <w:t>ère</w:t>
                            </w:r>
                            <w:r w:rsidRPr="00EC66E1">
                              <w:rPr>
                                <w:rFonts w:ascii="Arial" w:hAnsi="Arial" w:cs="Arial"/>
                                <w:color w:val="222A35" w:themeColor="text2" w:themeShade="80"/>
                              </w:rPr>
                              <w:t xml:space="preserve"> région pour la recherche équine</w:t>
                            </w:r>
                          </w:p>
                          <w:p w:rsidR="00CC6AB9" w:rsidRPr="00EC66E1" w:rsidRDefault="00CC6AB9" w:rsidP="00CC6AB9">
                            <w:pPr>
                              <w:spacing w:after="0" w:line="240" w:lineRule="auto"/>
                              <w:rPr>
                                <w:rFonts w:ascii="Arial" w:hAnsi="Arial" w:cs="Arial"/>
                                <w:color w:val="222A35" w:themeColor="text2" w:themeShade="80"/>
                              </w:rPr>
                            </w:pPr>
                            <w:r w:rsidRPr="00EC66E1">
                              <w:rPr>
                                <w:rFonts w:ascii="Arial" w:hAnsi="Arial" w:cs="Arial"/>
                                <w:color w:val="222A35" w:themeColor="text2" w:themeShade="80"/>
                              </w:rPr>
                              <w:t>- 1</w:t>
                            </w:r>
                            <w:r w:rsidRPr="00EC66E1">
                              <w:rPr>
                                <w:rFonts w:ascii="Arial" w:hAnsi="Arial" w:cs="Arial"/>
                                <w:color w:val="222A35" w:themeColor="text2" w:themeShade="80"/>
                                <w:vertAlign w:val="superscript"/>
                              </w:rPr>
                              <w:t>ère</w:t>
                            </w:r>
                            <w:r w:rsidRPr="00EC66E1">
                              <w:rPr>
                                <w:rFonts w:ascii="Arial" w:hAnsi="Arial" w:cs="Arial"/>
                                <w:color w:val="222A35" w:themeColor="text2" w:themeShade="80"/>
                              </w:rPr>
                              <w:t xml:space="preserve"> région pour l’économie</w:t>
                            </w:r>
                          </w:p>
                          <w:p w:rsidR="00CC6AB9" w:rsidRPr="00EC66E1" w:rsidRDefault="00CC6AB9" w:rsidP="00CC6AB9">
                            <w:pPr>
                              <w:spacing w:after="0" w:line="240" w:lineRule="auto"/>
                              <w:rPr>
                                <w:rFonts w:ascii="Arial" w:hAnsi="Arial" w:cs="Arial"/>
                                <w:color w:val="222A35" w:themeColor="text2" w:themeShade="80"/>
                              </w:rPr>
                            </w:pPr>
                            <w:r w:rsidRPr="00EC66E1">
                              <w:rPr>
                                <w:rFonts w:ascii="Arial" w:hAnsi="Arial" w:cs="Arial"/>
                                <w:color w:val="222A35" w:themeColor="text2" w:themeShade="80"/>
                              </w:rPr>
                              <w:t>- 18 000 emplois en Normandie</w:t>
                            </w:r>
                          </w:p>
                          <w:p w:rsidR="00CC6AB9" w:rsidRPr="00EC66E1" w:rsidRDefault="00CC6AB9" w:rsidP="00CC6AB9">
                            <w:pPr>
                              <w:spacing w:after="0" w:line="240" w:lineRule="auto"/>
                              <w:rPr>
                                <w:rFonts w:ascii="Arial" w:hAnsi="Arial" w:cs="Arial"/>
                                <w:color w:val="222A35" w:themeColor="text2" w:themeShade="80"/>
                              </w:rPr>
                            </w:pPr>
                            <w:r w:rsidRPr="00EC66E1">
                              <w:rPr>
                                <w:rFonts w:ascii="Arial" w:hAnsi="Arial" w:cs="Arial"/>
                                <w:color w:val="222A35" w:themeColor="text2" w:themeShade="80"/>
                              </w:rPr>
                              <w:t>- 6 700 entreprises</w:t>
                            </w:r>
                            <w:r>
                              <w:rPr>
                                <w:rFonts w:ascii="Arial" w:hAnsi="Arial" w:cs="Arial"/>
                                <w:color w:val="222A35" w:themeColor="text2" w:themeShade="80"/>
                              </w:rPr>
                              <w:t xml:space="preserve"> </w:t>
                            </w:r>
                            <w:r w:rsidRPr="00CC6AB9">
                              <w:rPr>
                                <w:rFonts w:ascii="Arial" w:hAnsi="Arial" w:cs="Arial"/>
                                <w:color w:val="222A35" w:themeColor="text2" w:themeShade="80"/>
                              </w:rPr>
                              <w:t>et organisations, dont 140 entreprises industrielles</w:t>
                            </w:r>
                          </w:p>
                          <w:p w:rsidR="00CC6AB9" w:rsidRPr="00EC66E1" w:rsidRDefault="00CC6AB9" w:rsidP="00CC6AB9">
                            <w:pPr>
                              <w:spacing w:after="0" w:line="240" w:lineRule="auto"/>
                              <w:rPr>
                                <w:rFonts w:ascii="Arial" w:hAnsi="Arial" w:cs="Arial"/>
                                <w:color w:val="222A35" w:themeColor="text2" w:themeShade="80"/>
                              </w:rPr>
                            </w:pPr>
                            <w:r w:rsidRPr="00EC66E1">
                              <w:rPr>
                                <w:rFonts w:ascii="Arial" w:hAnsi="Arial" w:cs="Arial"/>
                                <w:color w:val="222A35" w:themeColor="text2" w:themeShade="80"/>
                              </w:rPr>
                              <w:t>- 1,3 milliard d’euros de chiffres d’affaires annuel</w:t>
                            </w:r>
                          </w:p>
                          <w:p w:rsidR="00CC6AB9" w:rsidRPr="00EC66E1" w:rsidRDefault="00CC6AB9" w:rsidP="00CC6AB9">
                            <w:pPr>
                              <w:spacing w:after="0" w:line="240" w:lineRule="auto"/>
                              <w:rPr>
                                <w:rFonts w:ascii="Arial" w:hAnsi="Arial" w:cs="Arial"/>
                                <w:color w:val="222A35" w:themeColor="text2" w:themeShade="80"/>
                              </w:rPr>
                            </w:pPr>
                            <w:r w:rsidRPr="00EC66E1">
                              <w:rPr>
                                <w:rFonts w:ascii="Arial" w:hAnsi="Arial" w:cs="Arial"/>
                                <w:color w:val="222A35" w:themeColor="text2" w:themeShade="80"/>
                              </w:rPr>
                              <w:t xml:space="preserve">- </w:t>
                            </w:r>
                            <w:r w:rsidRPr="00CC6AB9">
                              <w:rPr>
                                <w:rFonts w:ascii="Arial" w:hAnsi="Arial" w:cs="Arial"/>
                                <w:color w:val="222A35" w:themeColor="text2" w:themeShade="80"/>
                              </w:rPr>
                              <w:t>117 000 équidés dans des structures (hors chevaux détenus par des propriétaires)</w:t>
                            </w:r>
                          </w:p>
                          <w:p w:rsidR="00CC6AB9" w:rsidRPr="00EC66E1" w:rsidRDefault="00CC6AB9" w:rsidP="00CC6AB9">
                            <w:pPr>
                              <w:spacing w:after="0" w:line="240" w:lineRule="auto"/>
                              <w:rPr>
                                <w:rFonts w:ascii="Arial" w:hAnsi="Arial" w:cs="Arial"/>
                                <w:color w:val="222A35" w:themeColor="text2" w:themeShade="80"/>
                              </w:rPr>
                            </w:pPr>
                            <w:r w:rsidRPr="00EC66E1">
                              <w:rPr>
                                <w:rFonts w:ascii="Arial" w:hAnsi="Arial" w:cs="Arial"/>
                                <w:color w:val="222A35" w:themeColor="text2" w:themeShade="80"/>
                              </w:rPr>
                              <w:t>- 4 </w:t>
                            </w:r>
                            <w:r>
                              <w:rPr>
                                <w:rFonts w:ascii="Arial" w:hAnsi="Arial" w:cs="Arial"/>
                                <w:color w:val="222A35" w:themeColor="text2" w:themeShade="80"/>
                              </w:rPr>
                              <w:t>670</w:t>
                            </w:r>
                            <w:r w:rsidRPr="00EC66E1">
                              <w:rPr>
                                <w:rFonts w:ascii="Arial" w:hAnsi="Arial" w:cs="Arial"/>
                                <w:color w:val="222A35" w:themeColor="text2" w:themeShade="80"/>
                              </w:rPr>
                              <w:t xml:space="preserve"> éleveurs</w:t>
                            </w:r>
                          </w:p>
                          <w:p w:rsidR="00CC6AB9" w:rsidRPr="00EC66E1" w:rsidRDefault="00CC6AB9" w:rsidP="00CC6AB9">
                            <w:pPr>
                              <w:spacing w:after="0" w:line="240" w:lineRule="auto"/>
                              <w:rPr>
                                <w:rFonts w:ascii="Arial" w:hAnsi="Arial" w:cs="Arial"/>
                                <w:color w:val="222A35" w:themeColor="text2" w:themeShade="80"/>
                              </w:rPr>
                            </w:pPr>
                            <w:r>
                              <w:rPr>
                                <w:rFonts w:ascii="Arial" w:hAnsi="Arial" w:cs="Arial"/>
                                <w:color w:val="222A35" w:themeColor="text2" w:themeShade="80"/>
                              </w:rPr>
                              <w:t>- 12 3</w:t>
                            </w:r>
                            <w:r w:rsidRPr="00EC66E1">
                              <w:rPr>
                                <w:rFonts w:ascii="Arial" w:hAnsi="Arial" w:cs="Arial"/>
                                <w:color w:val="222A35" w:themeColor="text2" w:themeShade="80"/>
                              </w:rPr>
                              <w:t>00 naissances par an</w:t>
                            </w:r>
                          </w:p>
                          <w:p w:rsidR="00CC6AB9" w:rsidRPr="00EC66E1" w:rsidRDefault="00CC6AB9" w:rsidP="00CC6AB9">
                            <w:pPr>
                              <w:spacing w:after="0" w:line="240" w:lineRule="auto"/>
                              <w:rPr>
                                <w:rFonts w:ascii="Arial" w:hAnsi="Arial" w:cs="Arial"/>
                                <w:color w:val="222A35" w:themeColor="text2" w:themeShade="80"/>
                              </w:rPr>
                            </w:pPr>
                            <w:r w:rsidRPr="00EC66E1">
                              <w:rPr>
                                <w:rFonts w:ascii="Arial" w:hAnsi="Arial" w:cs="Arial"/>
                                <w:color w:val="222A35" w:themeColor="text2" w:themeShade="80"/>
                              </w:rPr>
                              <w:t xml:space="preserve">- </w:t>
                            </w:r>
                            <w:r>
                              <w:rPr>
                                <w:rFonts w:ascii="Arial" w:hAnsi="Arial" w:cs="Arial"/>
                                <w:color w:val="222A35" w:themeColor="text2" w:themeShade="80"/>
                              </w:rPr>
                              <w:t>40 300</w:t>
                            </w:r>
                            <w:r w:rsidRPr="00EC66E1">
                              <w:rPr>
                                <w:rFonts w:ascii="Arial" w:hAnsi="Arial" w:cs="Arial"/>
                                <w:color w:val="222A35" w:themeColor="text2" w:themeShade="80"/>
                              </w:rPr>
                              <w:t xml:space="preserve"> </w:t>
                            </w:r>
                            <w:r>
                              <w:rPr>
                                <w:rFonts w:ascii="Arial" w:hAnsi="Arial" w:cs="Arial"/>
                                <w:color w:val="222A35" w:themeColor="text2" w:themeShade="80"/>
                              </w:rPr>
                              <w:t xml:space="preserve">cavaliers </w:t>
                            </w:r>
                            <w:r w:rsidRPr="00EC66E1">
                              <w:rPr>
                                <w:rFonts w:ascii="Arial" w:hAnsi="Arial" w:cs="Arial"/>
                                <w:color w:val="222A35" w:themeColor="text2" w:themeShade="80"/>
                              </w:rPr>
                              <w:t xml:space="preserve">licenciés </w:t>
                            </w:r>
                          </w:p>
                          <w:p w:rsidR="00CC6AB9" w:rsidRPr="00EC66E1" w:rsidRDefault="00CC6AB9" w:rsidP="00CC6AB9">
                            <w:pPr>
                              <w:spacing w:after="0" w:line="240" w:lineRule="auto"/>
                              <w:rPr>
                                <w:rFonts w:ascii="Arial" w:hAnsi="Arial" w:cs="Arial"/>
                                <w:color w:val="222A35" w:themeColor="text2" w:themeShade="80"/>
                              </w:rPr>
                            </w:pPr>
                            <w:r w:rsidRPr="00EC66E1">
                              <w:rPr>
                                <w:rFonts w:ascii="Arial" w:hAnsi="Arial" w:cs="Arial"/>
                                <w:color w:val="222A35" w:themeColor="text2" w:themeShade="80"/>
                              </w:rPr>
                              <w:t xml:space="preserve">- 57 organismes et centres de formation aux métiers du cheval </w:t>
                            </w:r>
                          </w:p>
                          <w:p w:rsidR="00CC6AB9" w:rsidRDefault="00CC6AB9" w:rsidP="00CC6AB9">
                            <w:pPr>
                              <w:rPr>
                                <w:color w:val="222A35" w:themeColor="text2" w:themeShade="80"/>
                              </w:rPr>
                            </w:pPr>
                          </w:p>
                        </w:txbxContent>
                      </wps:txbx>
                      <wps:bodyPr rot="0" spcFirstLastPara="0" vertOverflow="overflow" horzOverflow="overflow" vert="horz" wrap="square" lIns="228600" tIns="91440" rIns="0" bIns="91440" numCol="1" spcCol="0" rtlCol="0" fromWordArt="0" anchor="t" anchorCtr="0" forceAA="0" compatLnSpc="1">
                        <a:prstTxWarp prst="textNoShape">
                          <a:avLst/>
                        </a:prstTxWarp>
                        <a:noAutofit/>
                      </wps:bodyPr>
                    </wps:wsp>
                  </a:graphicData>
                </a:graphic>
              </wp:inline>
            </w:drawing>
          </mc:Choice>
          <mc:Fallback>
            <w:pict>
              <v:shape w14:anchorId="40DE4DA1" id="Rogner un rectangle à un seul coin 118" o:spid="_x0000_s1026" style="width:453.6pt;height:203.25pt;visibility:visible;mso-wrap-style:square;mso-left-percent:-10001;mso-top-percent:-10001;mso-position-horizontal:absolute;mso-position-horizontal-relative:char;mso-position-vertical:absolute;mso-position-vertical-relative:line;mso-left-percent:-10001;mso-top-percent:-10001;v-text-anchor:top" coordsize="5760720,2581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" adj="-11796480,,5400" path="m,l5330499,r430221,430221l5760720,2581275,,2581275,,xe" fillcolor="#8497b0" stroked="f" strokeweight="1pt">
                <v:fill opacity="13107f" color2="#d6dce5" o:opacity2="13107f" rotate="t" focus="100%" type="gradient">
                  <o:fill v:ext="view" type="gradientUnscaled"/>
                </v:fill>
                <v:stroke joinstyle="miter"/>
                <v:formulas/>
                <v:path arrowok="t" o:connecttype="custom" o:connectlocs="0,0;5330499,0;5760720,430221;5760720,2581275;0,2581275;0,0" o:connectangles="0,0,0,0,0,0" textboxrect="0,0,5760720,2581275"/>
                <v:textbox inset="18pt,7.2pt,0,7.2pt">
                  <w:txbxContent>
                    <w:p w:rsidR="00CC6AB9" w:rsidRPr="00EC66E1" w:rsidRDefault="00CC6AB9" w:rsidP="00CC6AB9">
                      <w:pPr>
                        <w:spacing w:after="120" w:line="240" w:lineRule="auto"/>
                        <w:jc w:val="center"/>
                        <w:rPr>
                          <w:rFonts w:ascii="Arial" w:hAnsi="Arial" w:cs="Arial"/>
                          <w:b/>
                          <w:color w:val="44546A" w:themeColor="text2"/>
                        </w:rPr>
                      </w:pPr>
                      <w:r w:rsidRPr="00EC66E1">
                        <w:rPr>
                          <w:rFonts w:ascii="Arial" w:hAnsi="Arial" w:cs="Arial"/>
                          <w:b/>
                          <w:color w:val="44546A" w:themeColor="text2"/>
                        </w:rPr>
                        <w:t>Les chiffres-clés de la filière équine en Normandie</w:t>
                      </w:r>
                    </w:p>
                    <w:p w:rsidR="00CC6AB9" w:rsidRPr="00EC66E1" w:rsidRDefault="00CC6AB9" w:rsidP="00CC6AB9">
                      <w:pPr>
                        <w:spacing w:after="0" w:line="240" w:lineRule="auto"/>
                        <w:rPr>
                          <w:rFonts w:ascii="Arial" w:hAnsi="Arial" w:cs="Arial"/>
                          <w:color w:val="222A35" w:themeColor="text2" w:themeShade="80"/>
                        </w:rPr>
                      </w:pPr>
                      <w:r w:rsidRPr="00EC66E1">
                        <w:rPr>
                          <w:rFonts w:ascii="Arial" w:hAnsi="Arial" w:cs="Arial"/>
                          <w:color w:val="44546A" w:themeColor="text2"/>
                        </w:rPr>
                        <w:t xml:space="preserve">- </w:t>
                      </w:r>
                      <w:r w:rsidRPr="00EC66E1">
                        <w:rPr>
                          <w:rFonts w:ascii="Arial" w:hAnsi="Arial" w:cs="Arial"/>
                          <w:color w:val="222A35" w:themeColor="text2" w:themeShade="80"/>
                        </w:rPr>
                        <w:t>1</w:t>
                      </w:r>
                      <w:r w:rsidRPr="00EC66E1">
                        <w:rPr>
                          <w:rFonts w:ascii="Arial" w:hAnsi="Arial" w:cs="Arial"/>
                          <w:color w:val="222A35" w:themeColor="text2" w:themeShade="80"/>
                          <w:vertAlign w:val="superscript"/>
                        </w:rPr>
                        <w:t xml:space="preserve">ère </w:t>
                      </w:r>
                      <w:r w:rsidRPr="00EC66E1">
                        <w:rPr>
                          <w:rFonts w:ascii="Arial" w:hAnsi="Arial" w:cs="Arial"/>
                          <w:color w:val="222A35" w:themeColor="text2" w:themeShade="80"/>
                        </w:rPr>
                        <w:t xml:space="preserve"> région d’élevage</w:t>
                      </w:r>
                    </w:p>
                    <w:p w:rsidR="00CC6AB9" w:rsidRPr="00EC66E1" w:rsidRDefault="00CC6AB9" w:rsidP="00CC6AB9">
                      <w:pPr>
                        <w:spacing w:after="0" w:line="240" w:lineRule="auto"/>
                        <w:rPr>
                          <w:rFonts w:ascii="Arial" w:hAnsi="Arial" w:cs="Arial"/>
                          <w:color w:val="222A35" w:themeColor="text2" w:themeShade="80"/>
                        </w:rPr>
                      </w:pPr>
                      <w:r w:rsidRPr="00EC66E1">
                        <w:rPr>
                          <w:rFonts w:ascii="Arial" w:hAnsi="Arial" w:cs="Arial"/>
                          <w:color w:val="222A35" w:themeColor="text2" w:themeShade="80"/>
                        </w:rPr>
                        <w:t>- 1</w:t>
                      </w:r>
                      <w:r w:rsidRPr="00EC66E1">
                        <w:rPr>
                          <w:rFonts w:ascii="Arial" w:hAnsi="Arial" w:cs="Arial"/>
                          <w:color w:val="222A35" w:themeColor="text2" w:themeShade="80"/>
                          <w:vertAlign w:val="superscript"/>
                        </w:rPr>
                        <w:t>ère</w:t>
                      </w:r>
                      <w:r w:rsidRPr="00EC66E1">
                        <w:rPr>
                          <w:rFonts w:ascii="Arial" w:hAnsi="Arial" w:cs="Arial"/>
                          <w:color w:val="222A35" w:themeColor="text2" w:themeShade="80"/>
                        </w:rPr>
                        <w:t xml:space="preserve"> région pour la recherche équine</w:t>
                      </w:r>
                    </w:p>
                    <w:p w:rsidR="00CC6AB9" w:rsidRPr="00EC66E1" w:rsidRDefault="00CC6AB9" w:rsidP="00CC6AB9">
                      <w:pPr>
                        <w:spacing w:after="0" w:line="240" w:lineRule="auto"/>
                        <w:rPr>
                          <w:rFonts w:ascii="Arial" w:hAnsi="Arial" w:cs="Arial"/>
                          <w:color w:val="222A35" w:themeColor="text2" w:themeShade="80"/>
                        </w:rPr>
                      </w:pPr>
                      <w:r w:rsidRPr="00EC66E1">
                        <w:rPr>
                          <w:rFonts w:ascii="Arial" w:hAnsi="Arial" w:cs="Arial"/>
                          <w:color w:val="222A35" w:themeColor="text2" w:themeShade="80"/>
                        </w:rPr>
                        <w:t>- 1</w:t>
                      </w:r>
                      <w:r w:rsidRPr="00EC66E1">
                        <w:rPr>
                          <w:rFonts w:ascii="Arial" w:hAnsi="Arial" w:cs="Arial"/>
                          <w:color w:val="222A35" w:themeColor="text2" w:themeShade="80"/>
                          <w:vertAlign w:val="superscript"/>
                        </w:rPr>
                        <w:t>ère</w:t>
                      </w:r>
                      <w:r w:rsidRPr="00EC66E1">
                        <w:rPr>
                          <w:rFonts w:ascii="Arial" w:hAnsi="Arial" w:cs="Arial"/>
                          <w:color w:val="222A35" w:themeColor="text2" w:themeShade="80"/>
                        </w:rPr>
                        <w:t xml:space="preserve"> région pour l’économie</w:t>
                      </w:r>
                    </w:p>
                    <w:p w:rsidR="00CC6AB9" w:rsidRPr="00EC66E1" w:rsidRDefault="00CC6AB9" w:rsidP="00CC6AB9">
                      <w:pPr>
                        <w:spacing w:after="0" w:line="240" w:lineRule="auto"/>
                        <w:rPr>
                          <w:rFonts w:ascii="Arial" w:hAnsi="Arial" w:cs="Arial"/>
                          <w:color w:val="222A35" w:themeColor="text2" w:themeShade="80"/>
                        </w:rPr>
                      </w:pPr>
                      <w:r w:rsidRPr="00EC66E1">
                        <w:rPr>
                          <w:rFonts w:ascii="Arial" w:hAnsi="Arial" w:cs="Arial"/>
                          <w:color w:val="222A35" w:themeColor="text2" w:themeShade="80"/>
                        </w:rPr>
                        <w:t>- 18 000 emplois en Normandie</w:t>
                      </w:r>
                    </w:p>
                    <w:p w:rsidR="00CC6AB9" w:rsidRPr="00EC66E1" w:rsidRDefault="00CC6AB9" w:rsidP="00CC6AB9">
                      <w:pPr>
                        <w:spacing w:after="0" w:line="240" w:lineRule="auto"/>
                        <w:rPr>
                          <w:rFonts w:ascii="Arial" w:hAnsi="Arial" w:cs="Arial"/>
                          <w:color w:val="222A35" w:themeColor="text2" w:themeShade="80"/>
                        </w:rPr>
                      </w:pPr>
                      <w:r w:rsidRPr="00EC66E1">
                        <w:rPr>
                          <w:rFonts w:ascii="Arial" w:hAnsi="Arial" w:cs="Arial"/>
                          <w:color w:val="222A35" w:themeColor="text2" w:themeShade="80"/>
                        </w:rPr>
                        <w:t>- 6 700 entreprises</w:t>
                      </w:r>
                      <w:r>
                        <w:rPr>
                          <w:rFonts w:ascii="Arial" w:hAnsi="Arial" w:cs="Arial"/>
                          <w:color w:val="222A35" w:themeColor="text2" w:themeShade="80"/>
                        </w:rPr>
                        <w:t xml:space="preserve"> </w:t>
                      </w:r>
                      <w:r w:rsidRPr="00CC6AB9">
                        <w:rPr>
                          <w:rFonts w:ascii="Arial" w:hAnsi="Arial" w:cs="Arial"/>
                          <w:color w:val="222A35" w:themeColor="text2" w:themeShade="80"/>
                        </w:rPr>
                        <w:t>et organisations, dont 140 entreprises industrielles</w:t>
                      </w:r>
                    </w:p>
                    <w:p w:rsidR="00CC6AB9" w:rsidRPr="00EC66E1" w:rsidRDefault="00CC6AB9" w:rsidP="00CC6AB9">
                      <w:pPr>
                        <w:spacing w:after="0" w:line="240" w:lineRule="auto"/>
                        <w:rPr>
                          <w:rFonts w:ascii="Arial" w:hAnsi="Arial" w:cs="Arial"/>
                          <w:color w:val="222A35" w:themeColor="text2" w:themeShade="80"/>
                        </w:rPr>
                      </w:pPr>
                      <w:r w:rsidRPr="00EC66E1">
                        <w:rPr>
                          <w:rFonts w:ascii="Arial" w:hAnsi="Arial" w:cs="Arial"/>
                          <w:color w:val="222A35" w:themeColor="text2" w:themeShade="80"/>
                        </w:rPr>
                        <w:t>- 1,3 milliard d’euros de chiffres d’affaires annuel</w:t>
                      </w:r>
                    </w:p>
                    <w:p w:rsidR="00CC6AB9" w:rsidRPr="00EC66E1" w:rsidRDefault="00CC6AB9" w:rsidP="00CC6AB9">
                      <w:pPr>
                        <w:spacing w:after="0" w:line="240" w:lineRule="auto"/>
                        <w:rPr>
                          <w:rFonts w:ascii="Arial" w:hAnsi="Arial" w:cs="Arial"/>
                          <w:color w:val="222A35" w:themeColor="text2" w:themeShade="80"/>
                        </w:rPr>
                      </w:pPr>
                      <w:r w:rsidRPr="00EC66E1">
                        <w:rPr>
                          <w:rFonts w:ascii="Arial" w:hAnsi="Arial" w:cs="Arial"/>
                          <w:color w:val="222A35" w:themeColor="text2" w:themeShade="80"/>
                        </w:rPr>
                        <w:t xml:space="preserve">- </w:t>
                      </w:r>
                      <w:r w:rsidRPr="00CC6AB9">
                        <w:rPr>
                          <w:rFonts w:ascii="Arial" w:hAnsi="Arial" w:cs="Arial"/>
                          <w:color w:val="222A35" w:themeColor="text2" w:themeShade="80"/>
                        </w:rPr>
                        <w:t>117 000 équidés dans des structures (hors chevaux détenus par des propriétaires)</w:t>
                      </w:r>
                    </w:p>
                    <w:p w:rsidR="00CC6AB9" w:rsidRPr="00EC66E1" w:rsidRDefault="00CC6AB9" w:rsidP="00CC6AB9">
                      <w:pPr>
                        <w:spacing w:after="0" w:line="240" w:lineRule="auto"/>
                        <w:rPr>
                          <w:rFonts w:ascii="Arial" w:hAnsi="Arial" w:cs="Arial"/>
                          <w:color w:val="222A35" w:themeColor="text2" w:themeShade="80"/>
                        </w:rPr>
                      </w:pPr>
                      <w:r w:rsidRPr="00EC66E1">
                        <w:rPr>
                          <w:rFonts w:ascii="Arial" w:hAnsi="Arial" w:cs="Arial"/>
                          <w:color w:val="222A35" w:themeColor="text2" w:themeShade="80"/>
                        </w:rPr>
                        <w:t>- 4 </w:t>
                      </w:r>
                      <w:r>
                        <w:rPr>
                          <w:rFonts w:ascii="Arial" w:hAnsi="Arial" w:cs="Arial"/>
                          <w:color w:val="222A35" w:themeColor="text2" w:themeShade="80"/>
                        </w:rPr>
                        <w:t>670</w:t>
                      </w:r>
                      <w:r w:rsidRPr="00EC66E1">
                        <w:rPr>
                          <w:rFonts w:ascii="Arial" w:hAnsi="Arial" w:cs="Arial"/>
                          <w:color w:val="222A35" w:themeColor="text2" w:themeShade="80"/>
                        </w:rPr>
                        <w:t xml:space="preserve"> éleveurs</w:t>
                      </w:r>
                    </w:p>
                    <w:p w:rsidR="00CC6AB9" w:rsidRPr="00EC66E1" w:rsidRDefault="00CC6AB9" w:rsidP="00CC6AB9">
                      <w:pPr>
                        <w:spacing w:after="0" w:line="240" w:lineRule="auto"/>
                        <w:rPr>
                          <w:rFonts w:ascii="Arial" w:hAnsi="Arial" w:cs="Arial"/>
                          <w:color w:val="222A35" w:themeColor="text2" w:themeShade="80"/>
                        </w:rPr>
                      </w:pPr>
                      <w:r>
                        <w:rPr>
                          <w:rFonts w:ascii="Arial" w:hAnsi="Arial" w:cs="Arial"/>
                          <w:color w:val="222A35" w:themeColor="text2" w:themeShade="80"/>
                        </w:rPr>
                        <w:t>- 12 3</w:t>
                      </w:r>
                      <w:r w:rsidRPr="00EC66E1">
                        <w:rPr>
                          <w:rFonts w:ascii="Arial" w:hAnsi="Arial" w:cs="Arial"/>
                          <w:color w:val="222A35" w:themeColor="text2" w:themeShade="80"/>
                        </w:rPr>
                        <w:t>00 naissances par an</w:t>
                      </w:r>
                    </w:p>
                    <w:p w:rsidR="00CC6AB9" w:rsidRPr="00EC66E1" w:rsidRDefault="00CC6AB9" w:rsidP="00CC6AB9">
                      <w:pPr>
                        <w:spacing w:after="0" w:line="240" w:lineRule="auto"/>
                        <w:rPr>
                          <w:rFonts w:ascii="Arial" w:hAnsi="Arial" w:cs="Arial"/>
                          <w:color w:val="222A35" w:themeColor="text2" w:themeShade="80"/>
                        </w:rPr>
                      </w:pPr>
                      <w:r w:rsidRPr="00EC66E1">
                        <w:rPr>
                          <w:rFonts w:ascii="Arial" w:hAnsi="Arial" w:cs="Arial"/>
                          <w:color w:val="222A35" w:themeColor="text2" w:themeShade="80"/>
                        </w:rPr>
                        <w:t xml:space="preserve">- </w:t>
                      </w:r>
                      <w:r>
                        <w:rPr>
                          <w:rFonts w:ascii="Arial" w:hAnsi="Arial" w:cs="Arial"/>
                          <w:color w:val="222A35" w:themeColor="text2" w:themeShade="80"/>
                        </w:rPr>
                        <w:t>40 300</w:t>
                      </w:r>
                      <w:r w:rsidRPr="00EC66E1">
                        <w:rPr>
                          <w:rFonts w:ascii="Arial" w:hAnsi="Arial" w:cs="Arial"/>
                          <w:color w:val="222A35" w:themeColor="text2" w:themeShade="80"/>
                        </w:rPr>
                        <w:t xml:space="preserve"> </w:t>
                      </w:r>
                      <w:r>
                        <w:rPr>
                          <w:rFonts w:ascii="Arial" w:hAnsi="Arial" w:cs="Arial"/>
                          <w:color w:val="222A35" w:themeColor="text2" w:themeShade="80"/>
                        </w:rPr>
                        <w:t xml:space="preserve">cavaliers </w:t>
                      </w:r>
                      <w:r w:rsidRPr="00EC66E1">
                        <w:rPr>
                          <w:rFonts w:ascii="Arial" w:hAnsi="Arial" w:cs="Arial"/>
                          <w:color w:val="222A35" w:themeColor="text2" w:themeShade="80"/>
                        </w:rPr>
                        <w:t xml:space="preserve">licenciés </w:t>
                      </w:r>
                    </w:p>
                    <w:p w:rsidR="00CC6AB9" w:rsidRPr="00EC66E1" w:rsidRDefault="00CC6AB9" w:rsidP="00CC6AB9">
                      <w:pPr>
                        <w:spacing w:after="0" w:line="240" w:lineRule="auto"/>
                        <w:rPr>
                          <w:rFonts w:ascii="Arial" w:hAnsi="Arial" w:cs="Arial"/>
                          <w:color w:val="222A35" w:themeColor="text2" w:themeShade="80"/>
                        </w:rPr>
                      </w:pPr>
                      <w:r w:rsidRPr="00EC66E1">
                        <w:rPr>
                          <w:rFonts w:ascii="Arial" w:hAnsi="Arial" w:cs="Arial"/>
                          <w:color w:val="222A35" w:themeColor="text2" w:themeShade="80"/>
                        </w:rPr>
                        <w:t xml:space="preserve">- 57 organismes et centres de formation aux métiers du cheval </w:t>
                      </w:r>
                    </w:p>
                    <w:p w:rsidR="00CC6AB9" w:rsidRDefault="00CC6AB9" w:rsidP="00CC6AB9">
                      <w:pPr>
                        <w:rPr>
                          <w:color w:val="222A35" w:themeColor="text2" w:themeShade="80"/>
                        </w:rPr>
                      </w:pPr>
                    </w:p>
                  </w:txbxContent>
                </v:textbox>
                <w10:anchorlock/>
              </v:shape>
            </w:pict>
          </mc:Fallback>
        </mc:AlternateContent>
      </w:r>
    </w:p>
    <w:p w:rsidR="00CC6AB9" w:rsidRPr="00CC6AB9" w:rsidRDefault="00CC6AB9" w:rsidP="00CC6AB9">
      <w:pPr>
        <w:spacing w:after="120" w:line="240" w:lineRule="auto"/>
        <w:jc w:val="both"/>
        <w:rPr>
          <w:rFonts w:ascii="Times New Roman" w:eastAsia="Calibri" w:hAnsi="Times New Roman" w:cs="Times New Roman"/>
          <w:sz w:val="24"/>
          <w:szCs w:val="24"/>
          <w:lang w:eastAsia="fr-FR"/>
        </w:rPr>
      </w:pPr>
    </w:p>
    <w:p w:rsidR="00CC6AB9" w:rsidRPr="00CC6AB9" w:rsidRDefault="00CC6AB9" w:rsidP="00CC6AB9">
      <w:pPr>
        <w:spacing w:after="120" w:line="240" w:lineRule="auto"/>
        <w:jc w:val="both"/>
        <w:rPr>
          <w:rFonts w:ascii="Times New Roman" w:eastAsia="Calibri" w:hAnsi="Times New Roman" w:cs="Times New Roman"/>
          <w:sz w:val="24"/>
          <w:szCs w:val="24"/>
          <w:lang w:eastAsia="fr-FR"/>
        </w:rPr>
      </w:pPr>
      <w:r w:rsidRPr="00CC6AB9">
        <w:rPr>
          <w:rFonts w:ascii="Calibri" w:eastAsia="Calibri" w:hAnsi="Calibri" w:cs="Calibri"/>
          <w:b/>
          <w:bCs/>
          <w:sz w:val="24"/>
          <w:szCs w:val="24"/>
          <w:lang w:eastAsia="fr-FR"/>
        </w:rPr>
        <w:t> </w:t>
      </w:r>
    </w:p>
    <w:p w:rsidR="00CC6AB9" w:rsidRPr="00CC6AB9" w:rsidRDefault="00CC6AB9" w:rsidP="00CC6AB9">
      <w:pPr>
        <w:spacing w:after="120" w:line="240" w:lineRule="auto"/>
        <w:jc w:val="both"/>
        <w:rPr>
          <w:rFonts w:ascii="Times New Roman" w:eastAsia="Calibri" w:hAnsi="Times New Roman" w:cs="Times New Roman"/>
          <w:sz w:val="24"/>
          <w:szCs w:val="24"/>
          <w:lang w:eastAsia="fr-FR"/>
        </w:rPr>
      </w:pPr>
      <w:r w:rsidRPr="00CC6AB9">
        <w:rPr>
          <w:rFonts w:ascii="Arial" w:eastAsia="Calibri" w:hAnsi="Arial" w:cs="Arial"/>
          <w:sz w:val="20"/>
          <w:szCs w:val="20"/>
          <w:lang w:eastAsia="fr-FR"/>
        </w:rPr>
        <w:t>Contacts Presse :</w:t>
      </w:r>
    </w:p>
    <w:tbl>
      <w:tblPr>
        <w:tblW w:w="0" w:type="auto"/>
        <w:tblCellMar>
          <w:left w:w="0" w:type="dxa"/>
          <w:right w:w="0" w:type="dxa"/>
        </w:tblCellMar>
        <w:tblLook w:val="04A0" w:firstRow="1" w:lastRow="0" w:firstColumn="1" w:lastColumn="0" w:noHBand="0" w:noVBand="1"/>
      </w:tblPr>
      <w:tblGrid>
        <w:gridCol w:w="4531"/>
        <w:gridCol w:w="4531"/>
      </w:tblGrid>
      <w:tr w:rsidR="00CC6AB9" w:rsidRPr="00CC6AB9" w:rsidTr="00CC6AB9">
        <w:tc>
          <w:tcPr>
            <w:tcW w:w="4531" w:type="dxa"/>
            <w:tcMar>
              <w:top w:w="0" w:type="dxa"/>
              <w:left w:w="108" w:type="dxa"/>
              <w:bottom w:w="0" w:type="dxa"/>
              <w:right w:w="108" w:type="dxa"/>
            </w:tcMar>
            <w:hideMark/>
          </w:tcPr>
          <w:p w:rsidR="00CC6AB9" w:rsidRPr="00CC6AB9" w:rsidRDefault="00CC6AB9" w:rsidP="00CC6AB9">
            <w:pPr>
              <w:spacing w:after="0" w:line="240" w:lineRule="auto"/>
              <w:jc w:val="both"/>
              <w:rPr>
                <w:rFonts w:ascii="Times New Roman" w:eastAsia="Calibri" w:hAnsi="Times New Roman" w:cs="Times New Roman"/>
                <w:sz w:val="24"/>
                <w:szCs w:val="24"/>
                <w:lang w:eastAsia="fr-FR"/>
              </w:rPr>
            </w:pPr>
            <w:r w:rsidRPr="00CC6AB9">
              <w:rPr>
                <w:rFonts w:ascii="Arial" w:eastAsia="Calibri" w:hAnsi="Arial" w:cs="Arial"/>
                <w:b/>
                <w:bCs/>
                <w:sz w:val="20"/>
                <w:szCs w:val="20"/>
                <w:lang w:eastAsia="fr-FR"/>
              </w:rPr>
              <w:t>AD Normandie :</w:t>
            </w:r>
          </w:p>
          <w:p w:rsidR="00CC6AB9" w:rsidRPr="00CC6AB9" w:rsidRDefault="00CC6AB9" w:rsidP="00CC6AB9">
            <w:pPr>
              <w:spacing w:after="0" w:line="240" w:lineRule="auto"/>
              <w:jc w:val="both"/>
              <w:rPr>
                <w:rFonts w:ascii="Times New Roman" w:eastAsia="Calibri" w:hAnsi="Times New Roman" w:cs="Times New Roman"/>
                <w:sz w:val="24"/>
                <w:szCs w:val="24"/>
                <w:lang w:eastAsia="fr-FR"/>
              </w:rPr>
            </w:pPr>
            <w:r w:rsidRPr="00CC6AB9">
              <w:rPr>
                <w:rFonts w:ascii="Arial" w:eastAsia="Calibri" w:hAnsi="Arial" w:cs="Arial"/>
                <w:b/>
                <w:bCs/>
                <w:sz w:val="20"/>
                <w:szCs w:val="20"/>
                <w:lang w:eastAsia="fr-FR"/>
              </w:rPr>
              <w:t> </w:t>
            </w:r>
          </w:p>
          <w:p w:rsidR="00CC6AB9" w:rsidRPr="00CC6AB9" w:rsidRDefault="00CC6AB9" w:rsidP="00CC6AB9">
            <w:pPr>
              <w:spacing w:after="0" w:line="240" w:lineRule="auto"/>
              <w:rPr>
                <w:rFonts w:ascii="Times New Roman" w:eastAsia="Calibri" w:hAnsi="Times New Roman" w:cs="Times New Roman"/>
                <w:sz w:val="24"/>
                <w:szCs w:val="24"/>
                <w:lang w:eastAsia="fr-FR"/>
              </w:rPr>
            </w:pPr>
            <w:proofErr w:type="spellStart"/>
            <w:r w:rsidRPr="00CC6AB9">
              <w:rPr>
                <w:rFonts w:ascii="Arial" w:eastAsia="Calibri" w:hAnsi="Arial" w:cs="Arial"/>
                <w:sz w:val="20"/>
                <w:szCs w:val="20"/>
                <w:lang w:eastAsia="fr-FR"/>
              </w:rPr>
              <w:t>Ericka</w:t>
            </w:r>
            <w:proofErr w:type="spellEnd"/>
            <w:r w:rsidRPr="00CC6AB9">
              <w:rPr>
                <w:rFonts w:ascii="Arial" w:eastAsia="Calibri" w:hAnsi="Arial" w:cs="Arial"/>
                <w:sz w:val="20"/>
                <w:szCs w:val="20"/>
                <w:lang w:eastAsia="fr-FR"/>
              </w:rPr>
              <w:t xml:space="preserve"> </w:t>
            </w:r>
            <w:proofErr w:type="spellStart"/>
            <w:r w:rsidRPr="00CC6AB9">
              <w:rPr>
                <w:rFonts w:ascii="Arial" w:eastAsia="Calibri" w:hAnsi="Arial" w:cs="Arial"/>
                <w:sz w:val="20"/>
                <w:szCs w:val="20"/>
                <w:lang w:eastAsia="fr-FR"/>
              </w:rPr>
              <w:t>Norgren</w:t>
            </w:r>
            <w:proofErr w:type="spellEnd"/>
            <w:r w:rsidRPr="00CC6AB9">
              <w:rPr>
                <w:rFonts w:ascii="Arial" w:eastAsia="Calibri" w:hAnsi="Arial" w:cs="Arial"/>
                <w:sz w:val="20"/>
                <w:szCs w:val="20"/>
                <w:lang w:eastAsia="fr-FR"/>
              </w:rPr>
              <w:t xml:space="preserve"> - Tél. : 06 02 00 98 93 - </w:t>
            </w:r>
            <w:hyperlink r:id="rId9" w:history="1">
              <w:r w:rsidRPr="00CC6AB9">
                <w:rPr>
                  <w:rFonts w:ascii="Arial" w:eastAsia="Calibri" w:hAnsi="Arial" w:cs="Arial"/>
                  <w:color w:val="0000FF"/>
                  <w:sz w:val="20"/>
                  <w:szCs w:val="20"/>
                  <w:u w:val="single"/>
                  <w:lang w:eastAsia="fr-FR"/>
                </w:rPr>
                <w:t>ericka.norgren@adnormandie.fr</w:t>
              </w:r>
            </w:hyperlink>
          </w:p>
          <w:p w:rsidR="00CC6AB9" w:rsidRPr="00CC6AB9" w:rsidRDefault="00CC6AB9" w:rsidP="00CC6AB9">
            <w:pPr>
              <w:spacing w:after="120" w:line="240" w:lineRule="auto"/>
              <w:jc w:val="both"/>
              <w:rPr>
                <w:rFonts w:ascii="Times New Roman" w:eastAsia="Calibri" w:hAnsi="Times New Roman" w:cs="Times New Roman"/>
                <w:sz w:val="24"/>
                <w:szCs w:val="24"/>
                <w:lang w:eastAsia="fr-FR"/>
              </w:rPr>
            </w:pPr>
            <w:r w:rsidRPr="00CC6AB9">
              <w:rPr>
                <w:rFonts w:ascii="Arial" w:eastAsia="Calibri" w:hAnsi="Arial" w:cs="Arial"/>
                <w:sz w:val="20"/>
                <w:szCs w:val="20"/>
                <w:lang w:eastAsia="fr-FR"/>
              </w:rPr>
              <w:t> </w:t>
            </w:r>
          </w:p>
        </w:tc>
        <w:tc>
          <w:tcPr>
            <w:tcW w:w="4531" w:type="dxa"/>
            <w:tcMar>
              <w:top w:w="0" w:type="dxa"/>
              <w:left w:w="108" w:type="dxa"/>
              <w:bottom w:w="0" w:type="dxa"/>
              <w:right w:w="108" w:type="dxa"/>
            </w:tcMar>
            <w:hideMark/>
          </w:tcPr>
          <w:p w:rsidR="00CC6AB9" w:rsidRPr="00CC6AB9" w:rsidRDefault="00CC6AB9" w:rsidP="00CC6AB9">
            <w:pPr>
              <w:autoSpaceDE w:val="0"/>
              <w:autoSpaceDN w:val="0"/>
              <w:spacing w:after="0" w:line="240" w:lineRule="auto"/>
              <w:jc w:val="both"/>
              <w:rPr>
                <w:rFonts w:ascii="Times New Roman" w:eastAsia="Calibri" w:hAnsi="Times New Roman" w:cs="Times New Roman"/>
                <w:sz w:val="24"/>
                <w:szCs w:val="24"/>
                <w:lang w:eastAsia="fr-FR"/>
              </w:rPr>
            </w:pPr>
            <w:proofErr w:type="spellStart"/>
            <w:r w:rsidRPr="00CC6AB9">
              <w:rPr>
                <w:rFonts w:ascii="Arial" w:eastAsia="Calibri" w:hAnsi="Arial" w:cs="Arial"/>
                <w:b/>
                <w:bCs/>
                <w:sz w:val="20"/>
                <w:szCs w:val="20"/>
                <w:shd w:val="clear" w:color="auto" w:fill="FDFDFC"/>
                <w:lang w:val="en-US"/>
              </w:rPr>
              <w:t>Région</w:t>
            </w:r>
            <w:proofErr w:type="spellEnd"/>
            <w:r w:rsidRPr="00CC6AB9">
              <w:rPr>
                <w:rFonts w:ascii="Arial" w:eastAsia="Calibri" w:hAnsi="Arial" w:cs="Arial"/>
                <w:b/>
                <w:bCs/>
                <w:sz w:val="20"/>
                <w:szCs w:val="20"/>
                <w:shd w:val="clear" w:color="auto" w:fill="FDFDFC"/>
                <w:lang w:val="en-US"/>
              </w:rPr>
              <w:t xml:space="preserve"> </w:t>
            </w:r>
            <w:proofErr w:type="spellStart"/>
            <w:r w:rsidRPr="00CC6AB9">
              <w:rPr>
                <w:rFonts w:ascii="Arial" w:eastAsia="Calibri" w:hAnsi="Arial" w:cs="Arial"/>
                <w:b/>
                <w:bCs/>
                <w:sz w:val="20"/>
                <w:szCs w:val="20"/>
                <w:shd w:val="clear" w:color="auto" w:fill="FDFDFC"/>
                <w:lang w:val="en-US"/>
              </w:rPr>
              <w:t>Normandie</w:t>
            </w:r>
            <w:proofErr w:type="spellEnd"/>
            <w:r w:rsidRPr="00CC6AB9">
              <w:rPr>
                <w:rFonts w:ascii="Arial" w:eastAsia="Calibri" w:hAnsi="Arial" w:cs="Arial"/>
                <w:b/>
                <w:bCs/>
                <w:sz w:val="20"/>
                <w:szCs w:val="20"/>
                <w:shd w:val="clear" w:color="auto" w:fill="FDFDFC"/>
                <w:lang w:val="en-US"/>
              </w:rPr>
              <w:t xml:space="preserve"> : </w:t>
            </w:r>
          </w:p>
          <w:p w:rsidR="00CC6AB9" w:rsidRPr="00CC6AB9" w:rsidRDefault="00CC6AB9" w:rsidP="00CC6AB9">
            <w:pPr>
              <w:autoSpaceDE w:val="0"/>
              <w:autoSpaceDN w:val="0"/>
              <w:spacing w:after="0" w:line="240" w:lineRule="auto"/>
              <w:jc w:val="both"/>
              <w:rPr>
                <w:rFonts w:ascii="Times New Roman" w:eastAsia="Calibri" w:hAnsi="Times New Roman" w:cs="Times New Roman"/>
                <w:sz w:val="24"/>
                <w:szCs w:val="24"/>
                <w:lang w:eastAsia="fr-FR"/>
              </w:rPr>
            </w:pPr>
            <w:r w:rsidRPr="00CC6AB9">
              <w:rPr>
                <w:rFonts w:ascii="Arial" w:eastAsia="Calibri" w:hAnsi="Arial" w:cs="Arial"/>
                <w:sz w:val="20"/>
                <w:szCs w:val="20"/>
                <w:shd w:val="clear" w:color="auto" w:fill="FDFDFC"/>
                <w:lang w:val="en-US"/>
              </w:rPr>
              <w:t> </w:t>
            </w:r>
          </w:p>
          <w:p w:rsidR="00CC6AB9" w:rsidRPr="00CC6AB9" w:rsidRDefault="00CC6AB9" w:rsidP="00CC6AB9">
            <w:pPr>
              <w:autoSpaceDE w:val="0"/>
              <w:autoSpaceDN w:val="0"/>
              <w:spacing w:after="0" w:line="240" w:lineRule="auto"/>
              <w:jc w:val="both"/>
              <w:rPr>
                <w:rFonts w:ascii="Times New Roman" w:eastAsia="Calibri" w:hAnsi="Times New Roman" w:cs="Times New Roman"/>
                <w:sz w:val="24"/>
                <w:szCs w:val="24"/>
                <w:lang w:eastAsia="fr-FR"/>
              </w:rPr>
            </w:pPr>
            <w:r w:rsidRPr="00CC6AB9">
              <w:rPr>
                <w:rFonts w:ascii="Arial" w:eastAsia="Calibri" w:hAnsi="Arial" w:cs="Arial"/>
                <w:sz w:val="20"/>
                <w:szCs w:val="20"/>
                <w:shd w:val="clear" w:color="auto" w:fill="FDFDFC"/>
                <w:lang w:val="en-US"/>
              </w:rPr>
              <w:t xml:space="preserve">Charlotte </w:t>
            </w:r>
            <w:proofErr w:type="spellStart"/>
            <w:r w:rsidRPr="00CC6AB9">
              <w:rPr>
                <w:rFonts w:ascii="Arial" w:eastAsia="Calibri" w:hAnsi="Arial" w:cs="Arial"/>
                <w:sz w:val="20"/>
                <w:szCs w:val="20"/>
                <w:shd w:val="clear" w:color="auto" w:fill="FDFDFC"/>
                <w:lang w:val="en-US"/>
              </w:rPr>
              <w:t>Chanteloup</w:t>
            </w:r>
            <w:proofErr w:type="spellEnd"/>
            <w:r w:rsidRPr="00CC6AB9">
              <w:rPr>
                <w:rFonts w:ascii="Arial" w:eastAsia="Calibri" w:hAnsi="Arial" w:cs="Arial"/>
                <w:sz w:val="20"/>
                <w:szCs w:val="20"/>
                <w:shd w:val="clear" w:color="auto" w:fill="FDFDFC"/>
                <w:lang w:val="en-US"/>
              </w:rPr>
              <w:t xml:space="preserve"> - </w:t>
            </w:r>
            <w:proofErr w:type="spellStart"/>
            <w:r w:rsidRPr="00CC6AB9">
              <w:rPr>
                <w:rFonts w:ascii="Arial" w:eastAsia="Calibri" w:hAnsi="Arial" w:cs="Arial"/>
                <w:sz w:val="20"/>
                <w:szCs w:val="20"/>
                <w:lang w:val="en-US" w:eastAsia="fr-FR"/>
              </w:rPr>
              <w:t>Tél</w:t>
            </w:r>
            <w:proofErr w:type="spellEnd"/>
            <w:r w:rsidRPr="00CC6AB9">
              <w:rPr>
                <w:rFonts w:ascii="Arial" w:eastAsia="Calibri" w:hAnsi="Arial" w:cs="Arial"/>
                <w:sz w:val="20"/>
                <w:szCs w:val="20"/>
                <w:lang w:val="en-US" w:eastAsia="fr-FR"/>
              </w:rPr>
              <w:t xml:space="preserve">. : </w:t>
            </w:r>
            <w:r w:rsidRPr="00CC6AB9">
              <w:rPr>
                <w:rFonts w:ascii="Arial" w:eastAsia="Calibri" w:hAnsi="Arial" w:cs="Arial"/>
                <w:sz w:val="20"/>
                <w:szCs w:val="20"/>
                <w:shd w:val="clear" w:color="auto" w:fill="FDFDFC"/>
                <w:lang w:val="en-US"/>
              </w:rPr>
              <w:t xml:space="preserve">02 31 06 98 96 - </w:t>
            </w:r>
            <w:hyperlink r:id="rId10" w:history="1">
              <w:r w:rsidRPr="00CC6AB9">
                <w:rPr>
                  <w:rFonts w:ascii="Arial" w:eastAsia="Calibri" w:hAnsi="Arial" w:cs="Arial"/>
                  <w:color w:val="000080"/>
                  <w:sz w:val="20"/>
                  <w:szCs w:val="20"/>
                  <w:u w:val="single"/>
                  <w:shd w:val="clear" w:color="auto" w:fill="FDFDFC"/>
                  <w:lang w:val="en-US"/>
                </w:rPr>
                <w:t>charlotte.chanteloup@normandie.fr</w:t>
              </w:r>
            </w:hyperlink>
          </w:p>
          <w:p w:rsidR="00CC6AB9" w:rsidRPr="00CC6AB9" w:rsidRDefault="00CC6AB9" w:rsidP="00CC6AB9">
            <w:pPr>
              <w:spacing w:after="120" w:line="240" w:lineRule="auto"/>
              <w:jc w:val="both"/>
              <w:rPr>
                <w:rFonts w:ascii="Times New Roman" w:eastAsia="Calibri" w:hAnsi="Times New Roman" w:cs="Times New Roman"/>
                <w:sz w:val="24"/>
                <w:szCs w:val="24"/>
                <w:lang w:eastAsia="fr-FR"/>
              </w:rPr>
            </w:pPr>
            <w:r w:rsidRPr="00CC6AB9">
              <w:rPr>
                <w:rFonts w:ascii="Arial" w:eastAsia="Calibri" w:hAnsi="Arial" w:cs="Arial"/>
                <w:b/>
                <w:bCs/>
                <w:sz w:val="20"/>
                <w:szCs w:val="20"/>
                <w:lang w:eastAsia="fr-FR"/>
              </w:rPr>
              <w:t> </w:t>
            </w:r>
          </w:p>
        </w:tc>
      </w:tr>
    </w:tbl>
    <w:bookmarkEnd w:id="0"/>
    <w:p w:rsidR="00CC6AB9" w:rsidRPr="00CC6AB9" w:rsidRDefault="00CC6AB9" w:rsidP="00CC6AB9">
      <w:pPr>
        <w:spacing w:after="120" w:line="240" w:lineRule="auto"/>
        <w:jc w:val="both"/>
        <w:rPr>
          <w:rFonts w:ascii="Times New Roman" w:eastAsia="Calibri" w:hAnsi="Times New Roman" w:cs="Times New Roman"/>
          <w:sz w:val="24"/>
          <w:szCs w:val="24"/>
          <w:lang w:eastAsia="fr-FR"/>
        </w:rPr>
      </w:pPr>
      <w:r w:rsidRPr="00CC6AB9">
        <w:rPr>
          <w:rFonts w:ascii="Calibri" w:eastAsia="Calibri" w:hAnsi="Calibri" w:cs="Calibri"/>
          <w:b/>
          <w:bCs/>
          <w:sz w:val="24"/>
          <w:szCs w:val="24"/>
          <w:lang w:eastAsia="fr-FR"/>
        </w:rPr>
        <w:t> </w:t>
      </w:r>
    </w:p>
    <w:p w:rsidR="00CC6AB9" w:rsidRPr="00CC6AB9" w:rsidRDefault="00CC6AB9" w:rsidP="00CC6AB9">
      <w:pPr>
        <w:spacing w:after="0" w:line="240" w:lineRule="auto"/>
        <w:rPr>
          <w:rFonts w:ascii="Times New Roman" w:eastAsia="Calibri" w:hAnsi="Times New Roman" w:cs="Times New Roman"/>
          <w:sz w:val="24"/>
          <w:szCs w:val="24"/>
          <w:lang w:eastAsia="fr-FR"/>
        </w:rPr>
      </w:pPr>
      <w:r w:rsidRPr="00CC6AB9">
        <w:rPr>
          <w:rFonts w:ascii="Arial" w:eastAsia="Calibri" w:hAnsi="Arial" w:cs="Arial"/>
          <w:sz w:val="20"/>
          <w:szCs w:val="20"/>
          <w:lang w:eastAsia="fr-FR"/>
        </w:rPr>
        <w:t> </w:t>
      </w:r>
    </w:p>
    <w:p w:rsidR="00CC6AB9" w:rsidRPr="00CC6AB9" w:rsidRDefault="00CC6AB9" w:rsidP="00CC6AB9">
      <w:pPr>
        <w:spacing w:after="0" w:line="240" w:lineRule="auto"/>
        <w:rPr>
          <w:rFonts w:ascii="Times New Roman" w:eastAsia="Calibri" w:hAnsi="Times New Roman" w:cs="Times New Roman"/>
          <w:sz w:val="24"/>
          <w:szCs w:val="24"/>
          <w:lang w:eastAsia="fr-FR"/>
        </w:rPr>
      </w:pPr>
      <w:r w:rsidRPr="00CC6AB9">
        <w:rPr>
          <w:rFonts w:ascii="Calibri" w:eastAsia="Calibri" w:hAnsi="Calibri" w:cs="Calibri"/>
          <w:color w:val="1F497D"/>
        </w:rPr>
        <w:lastRenderedPageBreak/>
        <w:t> </w:t>
      </w:r>
    </w:p>
    <w:p w:rsidR="00577B9E" w:rsidRDefault="00577B9E"/>
    <w:sectPr w:rsidR="00577B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31AD4"/>
    <w:multiLevelType w:val="hybridMultilevel"/>
    <w:tmpl w:val="30D244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D9F4A75"/>
    <w:multiLevelType w:val="hybridMultilevel"/>
    <w:tmpl w:val="CB446BE8"/>
    <w:lvl w:ilvl="0" w:tplc="2224068E">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D5"/>
    <w:rsid w:val="000D11BE"/>
    <w:rsid w:val="000F04F3"/>
    <w:rsid w:val="001801EB"/>
    <w:rsid w:val="00202F0F"/>
    <w:rsid w:val="00274AF7"/>
    <w:rsid w:val="002D2DB6"/>
    <w:rsid w:val="004427A2"/>
    <w:rsid w:val="00577B9E"/>
    <w:rsid w:val="00582A3A"/>
    <w:rsid w:val="006818EF"/>
    <w:rsid w:val="00896719"/>
    <w:rsid w:val="00923227"/>
    <w:rsid w:val="00927CA9"/>
    <w:rsid w:val="00933123"/>
    <w:rsid w:val="00B126D2"/>
    <w:rsid w:val="00C45DB8"/>
    <w:rsid w:val="00C81A18"/>
    <w:rsid w:val="00C875B6"/>
    <w:rsid w:val="00CC6AB9"/>
    <w:rsid w:val="00CE4893"/>
    <w:rsid w:val="00CF1AD5"/>
    <w:rsid w:val="00E5047C"/>
    <w:rsid w:val="00E56C4B"/>
    <w:rsid w:val="00E776AD"/>
    <w:rsid w:val="00E94F74"/>
    <w:rsid w:val="00EC66E1"/>
    <w:rsid w:val="00EE5DB6"/>
    <w:rsid w:val="00F229A0"/>
    <w:rsid w:val="00F95052"/>
    <w:rsid w:val="00FB60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1EE6B5-EC02-4391-B872-E6A38F80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274A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77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77B9E"/>
    <w:rPr>
      <w:color w:val="0000FF"/>
      <w:u w:val="single"/>
    </w:rPr>
  </w:style>
  <w:style w:type="paragraph" w:styleId="Paragraphedeliste">
    <w:name w:val="List Paragraph"/>
    <w:basedOn w:val="Normal"/>
    <w:uiPriority w:val="34"/>
    <w:qFormat/>
    <w:rsid w:val="00202F0F"/>
    <w:pPr>
      <w:spacing w:after="200" w:line="276" w:lineRule="auto"/>
      <w:ind w:left="720"/>
      <w:contextualSpacing/>
    </w:pPr>
  </w:style>
  <w:style w:type="character" w:customStyle="1" w:styleId="Titre1Car">
    <w:name w:val="Titre 1 Car"/>
    <w:basedOn w:val="Policepardfaut"/>
    <w:link w:val="Titre1"/>
    <w:uiPriority w:val="9"/>
    <w:rsid w:val="00274AF7"/>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274AF7"/>
    <w:pPr>
      <w:outlineLvl w:val="9"/>
    </w:pPr>
    <w:rPr>
      <w:lang w:eastAsia="fr-FR"/>
    </w:rPr>
  </w:style>
  <w:style w:type="paragraph" w:styleId="Sansinterligne">
    <w:name w:val="No Spacing"/>
    <w:link w:val="SansinterligneCar"/>
    <w:uiPriority w:val="1"/>
    <w:qFormat/>
    <w:rsid w:val="00274AF7"/>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274AF7"/>
    <w:rPr>
      <w:rFonts w:eastAsiaTheme="minorEastAsia"/>
      <w:lang w:eastAsia="fr-FR"/>
    </w:rPr>
  </w:style>
  <w:style w:type="paragraph" w:styleId="Textedebulles">
    <w:name w:val="Balloon Text"/>
    <w:basedOn w:val="Normal"/>
    <w:link w:val="TextedebullesCar"/>
    <w:uiPriority w:val="99"/>
    <w:semiHidden/>
    <w:unhideWhenUsed/>
    <w:rsid w:val="0092322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232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84808">
      <w:bodyDiv w:val="1"/>
      <w:marLeft w:val="0"/>
      <w:marRight w:val="0"/>
      <w:marTop w:val="0"/>
      <w:marBottom w:val="0"/>
      <w:divBdr>
        <w:top w:val="none" w:sz="0" w:space="0" w:color="auto"/>
        <w:left w:val="none" w:sz="0" w:space="0" w:color="auto"/>
        <w:bottom w:val="none" w:sz="0" w:space="0" w:color="auto"/>
        <w:right w:val="none" w:sz="0" w:space="0" w:color="auto"/>
      </w:divBdr>
    </w:div>
    <w:div w:id="168756777">
      <w:bodyDiv w:val="1"/>
      <w:marLeft w:val="0"/>
      <w:marRight w:val="0"/>
      <w:marTop w:val="0"/>
      <w:marBottom w:val="0"/>
      <w:divBdr>
        <w:top w:val="none" w:sz="0" w:space="0" w:color="auto"/>
        <w:left w:val="none" w:sz="0" w:space="0" w:color="auto"/>
        <w:bottom w:val="none" w:sz="0" w:space="0" w:color="auto"/>
        <w:right w:val="none" w:sz="0" w:space="0" w:color="auto"/>
      </w:divBdr>
    </w:div>
    <w:div w:id="872226395">
      <w:bodyDiv w:val="1"/>
      <w:marLeft w:val="0"/>
      <w:marRight w:val="0"/>
      <w:marTop w:val="0"/>
      <w:marBottom w:val="0"/>
      <w:divBdr>
        <w:top w:val="none" w:sz="0" w:space="0" w:color="auto"/>
        <w:left w:val="none" w:sz="0" w:space="0" w:color="auto"/>
        <w:bottom w:val="none" w:sz="0" w:space="0" w:color="auto"/>
        <w:right w:val="none" w:sz="0" w:space="0" w:color="auto"/>
      </w:divBdr>
    </w:div>
    <w:div w:id="949508071">
      <w:bodyDiv w:val="1"/>
      <w:marLeft w:val="0"/>
      <w:marRight w:val="0"/>
      <w:marTop w:val="0"/>
      <w:marBottom w:val="0"/>
      <w:divBdr>
        <w:top w:val="none" w:sz="0" w:space="0" w:color="auto"/>
        <w:left w:val="none" w:sz="0" w:space="0" w:color="auto"/>
        <w:bottom w:val="none" w:sz="0" w:space="0" w:color="auto"/>
        <w:right w:val="none" w:sz="0" w:space="0" w:color="auto"/>
      </w:divBdr>
    </w:div>
    <w:div w:id="1240359880">
      <w:bodyDiv w:val="1"/>
      <w:marLeft w:val="0"/>
      <w:marRight w:val="0"/>
      <w:marTop w:val="0"/>
      <w:marBottom w:val="0"/>
      <w:divBdr>
        <w:top w:val="none" w:sz="0" w:space="0" w:color="auto"/>
        <w:left w:val="none" w:sz="0" w:space="0" w:color="auto"/>
        <w:bottom w:val="none" w:sz="0" w:space="0" w:color="auto"/>
        <w:right w:val="none" w:sz="0" w:space="0" w:color="auto"/>
      </w:divBdr>
    </w:div>
    <w:div w:id="1730575442">
      <w:bodyDiv w:val="1"/>
      <w:marLeft w:val="0"/>
      <w:marRight w:val="0"/>
      <w:marTop w:val="0"/>
      <w:marBottom w:val="0"/>
      <w:divBdr>
        <w:top w:val="none" w:sz="0" w:space="0" w:color="auto"/>
        <w:left w:val="none" w:sz="0" w:space="0" w:color="auto"/>
        <w:bottom w:val="none" w:sz="0" w:space="0" w:color="auto"/>
        <w:right w:val="none" w:sz="0" w:space="0" w:color="auto"/>
      </w:divBdr>
    </w:div>
    <w:div w:id="18156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charlotte.chanteloup@normandie.fr" TargetMode="External"/><Relationship Id="rId4" Type="http://schemas.openxmlformats.org/officeDocument/2006/relationships/webSettings" Target="webSettings.xml"/><Relationship Id="rId9" Type="http://schemas.openxmlformats.org/officeDocument/2006/relationships/hyperlink" Target="mailto:ericka.norgren@ad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4</Pages>
  <Words>1242</Words>
  <Characters>6837</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8063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17</cp:revision>
  <cp:lastPrinted>2020-02-26T10:56:00Z</cp:lastPrinted>
  <dcterms:created xsi:type="dcterms:W3CDTF">2020-02-25T15:40:00Z</dcterms:created>
  <dcterms:modified xsi:type="dcterms:W3CDTF">2020-03-02T15:31:00Z</dcterms:modified>
</cp:coreProperties>
</file>