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F19" w:rsidRDefault="004F161F">
      <w:r>
        <w:rPr>
          <w:rFonts w:ascii="Arial" w:hAnsi="Arial" w:cs="Arial"/>
          <w:noProof/>
          <w:lang w:eastAsia="fr-FR"/>
        </w:rPr>
        <w:drawing>
          <wp:inline distT="0" distB="0" distL="0" distR="0" wp14:anchorId="133519CD" wp14:editId="772B7E2C">
            <wp:extent cx="5448300" cy="514350"/>
            <wp:effectExtent l="0" t="0" r="0" b="0"/>
            <wp:docPr id="4" name="Image 4" descr="cid:image001.png@01D62DEB.138CB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2DEB.138CB00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48300" cy="514350"/>
                    </a:xfrm>
                    <a:prstGeom prst="rect">
                      <a:avLst/>
                    </a:prstGeom>
                    <a:noFill/>
                    <a:ln>
                      <a:noFill/>
                    </a:ln>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F161F" w:rsidTr="00CF2035">
        <w:tc>
          <w:tcPr>
            <w:tcW w:w="4531" w:type="dxa"/>
          </w:tcPr>
          <w:p w:rsidR="004F161F" w:rsidRDefault="004F161F" w:rsidP="00A54011">
            <w:pPr>
              <w:jc w:val="center"/>
            </w:pPr>
            <w:r>
              <w:rPr>
                <w:rFonts w:ascii="Arial" w:hAnsi="Arial" w:cs="Arial"/>
                <w:noProof/>
                <w:lang w:eastAsia="fr-FR"/>
              </w:rPr>
              <w:drawing>
                <wp:inline distT="0" distB="0" distL="0" distR="0" wp14:anchorId="6E131B35" wp14:editId="6E07A614">
                  <wp:extent cx="1123950" cy="1053703"/>
                  <wp:effectExtent l="0" t="0" r="0" b="0"/>
                  <wp:docPr id="3" name="Image 3" descr="cid:image002.png@01D62DEB.138CB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62DEB.138CB0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24634" cy="1054344"/>
                          </a:xfrm>
                          <a:prstGeom prst="rect">
                            <a:avLst/>
                          </a:prstGeom>
                          <a:noFill/>
                          <a:ln>
                            <a:noFill/>
                          </a:ln>
                        </pic:spPr>
                      </pic:pic>
                    </a:graphicData>
                  </a:graphic>
                </wp:inline>
              </w:drawing>
            </w:r>
          </w:p>
        </w:tc>
        <w:tc>
          <w:tcPr>
            <w:tcW w:w="4531" w:type="dxa"/>
          </w:tcPr>
          <w:p w:rsidR="004F161F" w:rsidRDefault="004F161F" w:rsidP="00A54011">
            <w:pPr>
              <w:jc w:val="center"/>
            </w:pPr>
            <w:r>
              <w:rPr>
                <w:noProof/>
                <w:lang w:eastAsia="fr-FR"/>
              </w:rPr>
              <w:drawing>
                <wp:inline distT="0" distB="0" distL="0" distR="0" wp14:anchorId="0C796847" wp14:editId="28A2196D">
                  <wp:extent cx="933450" cy="914400"/>
                  <wp:effectExtent l="0" t="0" r="0" b="0"/>
                  <wp:docPr id="1" name="Image 1" descr="cid:image011.png@01D5EFE4.2C57C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11.png@01D5EFE4.2C57C83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inline>
              </w:drawing>
            </w:r>
          </w:p>
        </w:tc>
      </w:tr>
    </w:tbl>
    <w:p w:rsidR="004F161F" w:rsidRDefault="004F161F"/>
    <w:p w:rsidR="006F04C0" w:rsidRDefault="006F04C0" w:rsidP="006F04C0">
      <w:pPr>
        <w:spacing w:after="0" w:line="240" w:lineRule="auto"/>
        <w:jc w:val="both"/>
        <w:rPr>
          <w:rFonts w:ascii="Arial" w:hAnsi="Arial" w:cs="Arial"/>
          <w:b/>
          <w:bCs/>
          <w:sz w:val="28"/>
          <w:szCs w:val="28"/>
        </w:rPr>
      </w:pPr>
      <w:r w:rsidRPr="006F04C0">
        <w:rPr>
          <w:rFonts w:ascii="Arial" w:hAnsi="Arial" w:cs="Arial"/>
          <w:b/>
          <w:bCs/>
          <w:sz w:val="28"/>
          <w:szCs w:val="28"/>
        </w:rPr>
        <w:t xml:space="preserve">Le partenariat entre la Région et l’EPFN a permis la réhabilitation de 376 friches en 3 ans </w:t>
      </w:r>
    </w:p>
    <w:p w:rsidR="006F04C0" w:rsidRPr="006F04C0" w:rsidRDefault="006F04C0" w:rsidP="006F04C0">
      <w:pPr>
        <w:spacing w:after="0" w:line="240" w:lineRule="auto"/>
        <w:jc w:val="both"/>
        <w:rPr>
          <w:rFonts w:ascii="Arial" w:hAnsi="Arial" w:cs="Arial"/>
          <w:b/>
          <w:bCs/>
          <w:sz w:val="28"/>
          <w:szCs w:val="28"/>
        </w:rPr>
      </w:pPr>
      <w:bookmarkStart w:id="0" w:name="_GoBack"/>
      <w:bookmarkEnd w:id="0"/>
    </w:p>
    <w:p w:rsidR="006F04C0" w:rsidRPr="006F04C0" w:rsidRDefault="006F04C0" w:rsidP="006F04C0">
      <w:pPr>
        <w:spacing w:after="0" w:line="240" w:lineRule="auto"/>
        <w:jc w:val="both"/>
        <w:rPr>
          <w:rFonts w:ascii="Arial" w:hAnsi="Arial" w:cs="Arial"/>
          <w:b/>
          <w:bCs/>
        </w:rPr>
      </w:pPr>
      <w:r w:rsidRPr="006F04C0">
        <w:rPr>
          <w:rFonts w:ascii="Arial" w:hAnsi="Arial" w:cs="Arial"/>
          <w:b/>
          <w:bCs/>
        </w:rPr>
        <w:t xml:space="preserve">Hervé Morin, Président de la Région Normandie, et Gilles Gal, Directeur Général de l’EPF Normandie, représentant Sébastien LECORNU, Président de l’EPFN, ont visité aujourd’hui, à Louviers, deux friches industrielles en voie de reconversion, en présence de Bernard Leroy, Président de l’Agglomération Seine Eure, et de François-Xavier </w:t>
      </w:r>
      <w:proofErr w:type="spellStart"/>
      <w:r w:rsidRPr="006F04C0">
        <w:rPr>
          <w:rFonts w:ascii="Arial" w:hAnsi="Arial" w:cs="Arial"/>
          <w:b/>
          <w:bCs/>
        </w:rPr>
        <w:t>Priollaud</w:t>
      </w:r>
      <w:proofErr w:type="spellEnd"/>
      <w:r w:rsidRPr="006F04C0">
        <w:rPr>
          <w:rFonts w:ascii="Arial" w:hAnsi="Arial" w:cs="Arial"/>
          <w:b/>
          <w:bCs/>
        </w:rPr>
        <w:t xml:space="preserve">, Vice-Président de la Région Normandie en charge des relations internationales, Maire de Louviers. </w:t>
      </w:r>
    </w:p>
    <w:p w:rsidR="006F04C0" w:rsidRPr="006F04C0" w:rsidRDefault="006F04C0" w:rsidP="006F04C0">
      <w:pPr>
        <w:spacing w:after="0" w:line="240" w:lineRule="auto"/>
        <w:jc w:val="both"/>
        <w:rPr>
          <w:rFonts w:ascii="Arial" w:hAnsi="Arial" w:cs="Arial"/>
          <w:b/>
          <w:bCs/>
        </w:rPr>
      </w:pPr>
      <w:r w:rsidRPr="006F04C0">
        <w:rPr>
          <w:rFonts w:ascii="Arial" w:hAnsi="Arial" w:cs="Arial"/>
          <w:b/>
          <w:bCs/>
        </w:rPr>
        <w:t>A cette occasion, Hervé Morin a fait le bilan des actions engagées par la Région et l’EPF Normandie pour la reconversion des friches d’activité sur le territoire.</w:t>
      </w:r>
    </w:p>
    <w:p w:rsidR="00A54011" w:rsidRPr="00A54011" w:rsidRDefault="00A54011" w:rsidP="006F04C0">
      <w:pPr>
        <w:spacing w:after="0" w:line="240" w:lineRule="auto"/>
        <w:jc w:val="both"/>
        <w:rPr>
          <w:rFonts w:ascii="Arial" w:hAnsi="Arial" w:cs="Arial"/>
          <w:b/>
        </w:rPr>
      </w:pPr>
    </w:p>
    <w:p w:rsidR="004F161F" w:rsidRDefault="004F161F" w:rsidP="006F04C0">
      <w:pPr>
        <w:spacing w:after="0" w:line="240" w:lineRule="auto"/>
        <w:jc w:val="both"/>
        <w:rPr>
          <w:rFonts w:ascii="Arial" w:hAnsi="Arial" w:cs="Arial"/>
          <w:b/>
          <w:sz w:val="24"/>
          <w:szCs w:val="24"/>
        </w:rPr>
      </w:pPr>
      <w:r w:rsidRPr="00A54011">
        <w:rPr>
          <w:rFonts w:ascii="Arial" w:hAnsi="Arial" w:cs="Arial"/>
          <w:b/>
          <w:sz w:val="24"/>
          <w:szCs w:val="24"/>
        </w:rPr>
        <w:t>L</w:t>
      </w:r>
      <w:r w:rsidR="00A54011">
        <w:rPr>
          <w:rFonts w:ascii="Arial" w:hAnsi="Arial" w:cs="Arial"/>
          <w:b/>
          <w:sz w:val="24"/>
          <w:szCs w:val="24"/>
        </w:rPr>
        <w:t>a réhabilitation de l’î</w:t>
      </w:r>
      <w:r w:rsidRPr="00A54011">
        <w:rPr>
          <w:rFonts w:ascii="Arial" w:hAnsi="Arial" w:cs="Arial"/>
          <w:b/>
          <w:sz w:val="24"/>
          <w:szCs w:val="24"/>
        </w:rPr>
        <w:t xml:space="preserve">lot </w:t>
      </w:r>
      <w:proofErr w:type="spellStart"/>
      <w:r w:rsidRPr="00A54011">
        <w:rPr>
          <w:rFonts w:ascii="Arial" w:hAnsi="Arial" w:cs="Arial"/>
          <w:b/>
          <w:sz w:val="24"/>
          <w:szCs w:val="24"/>
        </w:rPr>
        <w:t>Thorel</w:t>
      </w:r>
      <w:proofErr w:type="spellEnd"/>
      <w:r w:rsidRPr="00A54011">
        <w:rPr>
          <w:rFonts w:ascii="Arial" w:hAnsi="Arial" w:cs="Arial"/>
          <w:b/>
          <w:sz w:val="24"/>
          <w:szCs w:val="24"/>
        </w:rPr>
        <w:t>, un projet d’envergure mené par la Région et l’EPF</w:t>
      </w:r>
      <w:r w:rsidR="00A54011">
        <w:rPr>
          <w:rFonts w:ascii="Arial" w:hAnsi="Arial" w:cs="Arial"/>
          <w:b/>
          <w:sz w:val="24"/>
          <w:szCs w:val="24"/>
        </w:rPr>
        <w:t xml:space="preserve"> </w:t>
      </w:r>
      <w:r w:rsidRPr="00A54011">
        <w:rPr>
          <w:rFonts w:ascii="Arial" w:hAnsi="Arial" w:cs="Arial"/>
          <w:b/>
          <w:sz w:val="24"/>
          <w:szCs w:val="24"/>
        </w:rPr>
        <w:t>Normandie</w:t>
      </w:r>
    </w:p>
    <w:p w:rsidR="007C3B09" w:rsidRPr="00A54011" w:rsidRDefault="007C3B09" w:rsidP="007C3B09">
      <w:pPr>
        <w:spacing w:after="0" w:line="240" w:lineRule="auto"/>
        <w:jc w:val="both"/>
        <w:rPr>
          <w:rFonts w:ascii="Arial" w:hAnsi="Arial" w:cs="Arial"/>
          <w:b/>
          <w:sz w:val="24"/>
          <w:szCs w:val="24"/>
        </w:rPr>
      </w:pPr>
    </w:p>
    <w:p w:rsidR="004F161F" w:rsidRDefault="004F161F" w:rsidP="007C3B09">
      <w:pPr>
        <w:pStyle w:val="NormalWeb"/>
        <w:spacing w:before="0" w:beforeAutospacing="0" w:after="0" w:afterAutospacing="0"/>
        <w:ind w:right="284"/>
        <w:jc w:val="both"/>
        <w:rPr>
          <w:rFonts w:ascii="Arial" w:hAnsi="Arial" w:cs="Arial"/>
          <w:sz w:val="22"/>
          <w:szCs w:val="22"/>
        </w:rPr>
      </w:pPr>
      <w:r w:rsidRPr="00AF0427">
        <w:rPr>
          <w:rFonts w:ascii="Arial" w:hAnsi="Arial" w:cs="Arial"/>
          <w:sz w:val="22"/>
          <w:szCs w:val="22"/>
        </w:rPr>
        <w:t xml:space="preserve">Cet îlot, d’une superficie d’environ 4 600 m², abritait une ancienne usine textile datant du </w:t>
      </w:r>
      <w:r w:rsidR="00A54011">
        <w:rPr>
          <w:rFonts w:ascii="Arial" w:hAnsi="Arial" w:cs="Arial"/>
          <w:sz w:val="22"/>
          <w:szCs w:val="22"/>
        </w:rPr>
        <w:t>X</w:t>
      </w:r>
      <w:r w:rsidRPr="00AF0427">
        <w:rPr>
          <w:rFonts w:ascii="Arial" w:hAnsi="Arial" w:cs="Arial"/>
          <w:sz w:val="22"/>
          <w:szCs w:val="22"/>
        </w:rPr>
        <w:t xml:space="preserve">IXème siècle qui fut ensuite transformée en concession de voitures/garage Renault. </w:t>
      </w:r>
      <w:r>
        <w:rPr>
          <w:rFonts w:ascii="Arial" w:hAnsi="Arial" w:cs="Arial"/>
          <w:sz w:val="22"/>
          <w:szCs w:val="22"/>
        </w:rPr>
        <w:t>Les premières réflexions sur la reconve</w:t>
      </w:r>
      <w:r w:rsidR="007C3B09">
        <w:rPr>
          <w:rFonts w:ascii="Arial" w:hAnsi="Arial" w:cs="Arial"/>
          <w:sz w:val="22"/>
          <w:szCs w:val="22"/>
        </w:rPr>
        <w:t>rsion de ce site sont anciennes :</w:t>
      </w:r>
      <w:r>
        <w:rPr>
          <w:rFonts w:ascii="Arial" w:hAnsi="Arial" w:cs="Arial"/>
          <w:sz w:val="22"/>
          <w:szCs w:val="22"/>
        </w:rPr>
        <w:t xml:space="preserve"> l’acquisition du site par l’EPF pour </w:t>
      </w:r>
      <w:r w:rsidR="007C3B09">
        <w:rPr>
          <w:rFonts w:ascii="Arial" w:hAnsi="Arial" w:cs="Arial"/>
          <w:sz w:val="22"/>
          <w:szCs w:val="22"/>
        </w:rPr>
        <w:t xml:space="preserve">le compte de la ville date de </w:t>
      </w:r>
      <w:r>
        <w:rPr>
          <w:rFonts w:ascii="Arial" w:hAnsi="Arial" w:cs="Arial"/>
          <w:sz w:val="22"/>
          <w:szCs w:val="22"/>
        </w:rPr>
        <w:t xml:space="preserve">1996. </w:t>
      </w:r>
    </w:p>
    <w:p w:rsidR="007C3B09" w:rsidRDefault="007C3B09" w:rsidP="007C3B09">
      <w:pPr>
        <w:pStyle w:val="NormalWeb"/>
        <w:spacing w:before="0" w:beforeAutospacing="0" w:after="0" w:afterAutospacing="0"/>
        <w:ind w:right="284"/>
        <w:jc w:val="both"/>
        <w:rPr>
          <w:rFonts w:ascii="Arial" w:hAnsi="Arial" w:cs="Arial"/>
          <w:sz w:val="22"/>
          <w:szCs w:val="22"/>
        </w:rPr>
      </w:pPr>
    </w:p>
    <w:p w:rsidR="004F161F" w:rsidRDefault="004F161F" w:rsidP="007C3B09">
      <w:pPr>
        <w:pStyle w:val="NormalWeb"/>
        <w:spacing w:before="0" w:beforeAutospacing="0" w:after="0" w:afterAutospacing="0"/>
        <w:ind w:right="284"/>
        <w:jc w:val="both"/>
        <w:rPr>
          <w:rFonts w:ascii="Arial" w:hAnsi="Arial" w:cs="Arial"/>
          <w:sz w:val="22"/>
          <w:szCs w:val="22"/>
        </w:rPr>
      </w:pPr>
      <w:r>
        <w:rPr>
          <w:rFonts w:ascii="Arial" w:hAnsi="Arial" w:cs="Arial"/>
          <w:sz w:val="22"/>
          <w:szCs w:val="22"/>
        </w:rPr>
        <w:t>Une large partie de l’îlot a été démolie et devrait accueillir prochainement une rés</w:t>
      </w:r>
      <w:r w:rsidR="007C3B09">
        <w:rPr>
          <w:rFonts w:ascii="Arial" w:hAnsi="Arial" w:cs="Arial"/>
          <w:sz w:val="22"/>
          <w:szCs w:val="22"/>
        </w:rPr>
        <w:t xml:space="preserve">idence </w:t>
      </w:r>
      <w:r>
        <w:rPr>
          <w:rFonts w:ascii="Arial" w:hAnsi="Arial" w:cs="Arial"/>
          <w:sz w:val="22"/>
          <w:szCs w:val="22"/>
        </w:rPr>
        <w:t xml:space="preserve">de 75 logements sociaux orientée vers la place </w:t>
      </w:r>
      <w:proofErr w:type="spellStart"/>
      <w:r>
        <w:rPr>
          <w:rFonts w:ascii="Arial" w:hAnsi="Arial" w:cs="Arial"/>
          <w:sz w:val="22"/>
          <w:szCs w:val="22"/>
        </w:rPr>
        <w:t>Thorel</w:t>
      </w:r>
      <w:proofErr w:type="spellEnd"/>
      <w:r>
        <w:rPr>
          <w:rFonts w:ascii="Arial" w:hAnsi="Arial" w:cs="Arial"/>
          <w:sz w:val="22"/>
          <w:szCs w:val="22"/>
        </w:rPr>
        <w:t xml:space="preserve"> (permettant notamment l’accueil de personnes âgées) avec un espace commercial en rez-de-chaussée. </w:t>
      </w:r>
    </w:p>
    <w:p w:rsidR="007C3B09" w:rsidRDefault="007C3B09" w:rsidP="007C3B09">
      <w:pPr>
        <w:pStyle w:val="NormalWeb"/>
        <w:spacing w:before="0" w:beforeAutospacing="0" w:after="0" w:afterAutospacing="0"/>
        <w:ind w:right="284"/>
        <w:jc w:val="both"/>
        <w:rPr>
          <w:rFonts w:ascii="Arial" w:hAnsi="Arial" w:cs="Arial"/>
          <w:sz w:val="22"/>
          <w:szCs w:val="22"/>
        </w:rPr>
      </w:pPr>
    </w:p>
    <w:p w:rsidR="004F161F" w:rsidRDefault="004F161F" w:rsidP="007C3B09">
      <w:pPr>
        <w:pStyle w:val="NormalWeb"/>
        <w:spacing w:before="0" w:beforeAutospacing="0" w:after="0" w:afterAutospacing="0"/>
        <w:ind w:right="284"/>
        <w:jc w:val="both"/>
        <w:rPr>
          <w:rFonts w:ascii="Arial" w:hAnsi="Arial" w:cs="Arial"/>
          <w:sz w:val="22"/>
          <w:szCs w:val="22"/>
        </w:rPr>
      </w:pPr>
      <w:r>
        <w:rPr>
          <w:rFonts w:ascii="Arial" w:hAnsi="Arial" w:cs="Arial"/>
          <w:sz w:val="22"/>
          <w:szCs w:val="22"/>
        </w:rPr>
        <w:t>Subsiste aujourd’hui une partie en sheds, témoin du passé industriel et textile de la Ville, à réhabiliter pour accueillir des activités tertiaires et communautaires (</w:t>
      </w:r>
      <w:r w:rsidR="007C3B09">
        <w:rPr>
          <w:rFonts w:ascii="Arial" w:hAnsi="Arial" w:cs="Arial"/>
          <w:sz w:val="22"/>
          <w:szCs w:val="22"/>
        </w:rPr>
        <w:t xml:space="preserve">comme la </w:t>
      </w:r>
      <w:r>
        <w:rPr>
          <w:rFonts w:ascii="Arial" w:hAnsi="Arial" w:cs="Arial"/>
          <w:sz w:val="22"/>
          <w:szCs w:val="22"/>
        </w:rPr>
        <w:t xml:space="preserve">maison du vélo portée par la CASE) et qui sera intégrée dans le programme d’aménagement </w:t>
      </w:r>
      <w:r w:rsidR="007C3B09">
        <w:rPr>
          <w:rFonts w:ascii="Arial" w:hAnsi="Arial" w:cs="Arial"/>
          <w:sz w:val="22"/>
          <w:szCs w:val="22"/>
        </w:rPr>
        <w:t>prévoyant</w:t>
      </w:r>
      <w:r>
        <w:rPr>
          <w:rFonts w:ascii="Arial" w:hAnsi="Arial" w:cs="Arial"/>
          <w:sz w:val="22"/>
          <w:szCs w:val="22"/>
        </w:rPr>
        <w:t xml:space="preserve"> un second bâtiment neuf de logements et des commerces. </w:t>
      </w:r>
    </w:p>
    <w:p w:rsidR="007C3B09" w:rsidRDefault="007C3B09" w:rsidP="007C3B09">
      <w:pPr>
        <w:pStyle w:val="NormalWeb"/>
        <w:spacing w:before="0" w:beforeAutospacing="0" w:after="0" w:afterAutospacing="0"/>
        <w:ind w:right="284"/>
        <w:jc w:val="both"/>
        <w:rPr>
          <w:rFonts w:ascii="Arial" w:hAnsi="Arial" w:cs="Arial"/>
          <w:sz w:val="22"/>
          <w:szCs w:val="22"/>
        </w:rPr>
      </w:pPr>
    </w:p>
    <w:p w:rsidR="004F161F" w:rsidRDefault="004F161F" w:rsidP="007C3B09">
      <w:pPr>
        <w:pStyle w:val="NormalWeb"/>
        <w:spacing w:before="0" w:beforeAutospacing="0" w:after="0" w:afterAutospacing="0"/>
        <w:ind w:right="284"/>
        <w:jc w:val="both"/>
        <w:rPr>
          <w:rFonts w:ascii="Arial" w:hAnsi="Arial" w:cs="Arial"/>
          <w:sz w:val="22"/>
          <w:szCs w:val="22"/>
        </w:rPr>
      </w:pPr>
      <w:r>
        <w:rPr>
          <w:rFonts w:ascii="Arial" w:hAnsi="Arial" w:cs="Arial"/>
          <w:sz w:val="22"/>
          <w:szCs w:val="22"/>
        </w:rPr>
        <w:t xml:space="preserve">A ce jour, </w:t>
      </w:r>
      <w:r w:rsidR="007C3B09">
        <w:rPr>
          <w:rFonts w:ascii="Arial" w:hAnsi="Arial" w:cs="Arial"/>
          <w:sz w:val="22"/>
          <w:szCs w:val="22"/>
        </w:rPr>
        <w:t xml:space="preserve">l’intervention </w:t>
      </w:r>
      <w:r>
        <w:rPr>
          <w:rFonts w:ascii="Arial" w:hAnsi="Arial" w:cs="Arial"/>
          <w:sz w:val="22"/>
          <w:szCs w:val="22"/>
        </w:rPr>
        <w:t>a porté sur des études techniques et des travaux de démolition partielle, désamiantage et dépollution des sols. Une consolidation structurelle des sheds a été réalisée, dans l’attente de leur réhabilitation.</w:t>
      </w:r>
    </w:p>
    <w:p w:rsidR="007C3B09" w:rsidRDefault="007C3B09" w:rsidP="007C3B09">
      <w:pPr>
        <w:pStyle w:val="NormalWeb"/>
        <w:spacing w:before="0" w:beforeAutospacing="0" w:after="0" w:afterAutospacing="0"/>
        <w:ind w:right="284"/>
        <w:jc w:val="both"/>
        <w:rPr>
          <w:rFonts w:ascii="Arial" w:hAnsi="Arial" w:cs="Arial"/>
          <w:sz w:val="22"/>
          <w:szCs w:val="22"/>
        </w:rPr>
      </w:pPr>
    </w:p>
    <w:p w:rsidR="004F161F" w:rsidRDefault="004F161F" w:rsidP="007C3B09">
      <w:pPr>
        <w:pStyle w:val="NormalWeb"/>
        <w:spacing w:before="0" w:beforeAutospacing="0" w:after="0" w:afterAutospacing="0"/>
        <w:ind w:right="284"/>
        <w:jc w:val="both"/>
        <w:rPr>
          <w:rFonts w:ascii="Arial" w:hAnsi="Arial" w:cs="Arial"/>
          <w:sz w:val="22"/>
          <w:szCs w:val="22"/>
        </w:rPr>
      </w:pPr>
      <w:r>
        <w:rPr>
          <w:rFonts w:ascii="Arial" w:hAnsi="Arial" w:cs="Arial"/>
          <w:sz w:val="22"/>
          <w:szCs w:val="22"/>
        </w:rPr>
        <w:t>D’un montant total de 1,16 million d’euros, la Région finance c</w:t>
      </w:r>
      <w:r w:rsidRPr="00AF0427">
        <w:rPr>
          <w:rFonts w:ascii="Arial" w:hAnsi="Arial" w:cs="Arial"/>
          <w:sz w:val="22"/>
          <w:szCs w:val="22"/>
        </w:rPr>
        <w:t>e projet à hauteur de 452 00</w:t>
      </w:r>
      <w:r>
        <w:rPr>
          <w:rFonts w:ascii="Arial" w:hAnsi="Arial" w:cs="Arial"/>
          <w:sz w:val="22"/>
          <w:szCs w:val="22"/>
        </w:rPr>
        <w:t>0 euros, et l’</w:t>
      </w:r>
      <w:r>
        <w:rPr>
          <w:rFonts w:ascii="Arial" w:hAnsi="Arial" w:cs="Arial"/>
          <w:sz w:val="22"/>
          <w:szCs w:val="22"/>
        </w:rPr>
        <w:t>EPF </w:t>
      </w:r>
      <w:r>
        <w:rPr>
          <w:rFonts w:ascii="Arial" w:hAnsi="Arial" w:cs="Arial"/>
          <w:sz w:val="22"/>
          <w:szCs w:val="22"/>
        </w:rPr>
        <w:t xml:space="preserve">à hauteur de 396 007 euros. </w:t>
      </w:r>
    </w:p>
    <w:p w:rsidR="004F161F" w:rsidRDefault="004F161F" w:rsidP="007C3B09">
      <w:pPr>
        <w:pStyle w:val="NormalWeb"/>
        <w:spacing w:before="0" w:beforeAutospacing="0" w:after="0" w:afterAutospacing="0"/>
        <w:ind w:right="284"/>
        <w:jc w:val="both"/>
        <w:rPr>
          <w:rFonts w:ascii="Arial" w:hAnsi="Arial" w:cs="Arial"/>
          <w:sz w:val="22"/>
          <w:szCs w:val="22"/>
        </w:rPr>
      </w:pPr>
    </w:p>
    <w:p w:rsidR="004F161F" w:rsidRDefault="004F161F" w:rsidP="007C3B09">
      <w:pPr>
        <w:pStyle w:val="NormalWeb"/>
        <w:spacing w:before="0" w:beforeAutospacing="0" w:after="0" w:afterAutospacing="0"/>
        <w:ind w:right="284"/>
        <w:jc w:val="both"/>
        <w:rPr>
          <w:rFonts w:ascii="Arial" w:hAnsi="Arial" w:cs="Arial"/>
          <w:b/>
        </w:rPr>
      </w:pPr>
      <w:r w:rsidRPr="007C3B09">
        <w:rPr>
          <w:rFonts w:ascii="Arial" w:hAnsi="Arial" w:cs="Arial"/>
          <w:b/>
        </w:rPr>
        <w:t>Déjà</w:t>
      </w:r>
      <w:r w:rsidR="007C3B09">
        <w:rPr>
          <w:rFonts w:ascii="Arial" w:hAnsi="Arial" w:cs="Arial"/>
          <w:b/>
        </w:rPr>
        <w:t xml:space="preserve"> 376 sites</w:t>
      </w:r>
      <w:r w:rsidRPr="007C3B09">
        <w:rPr>
          <w:rFonts w:ascii="Arial" w:hAnsi="Arial" w:cs="Arial"/>
          <w:b/>
        </w:rPr>
        <w:t xml:space="preserve"> réhabilités en Normandie</w:t>
      </w:r>
    </w:p>
    <w:p w:rsidR="007C3B09" w:rsidRPr="007C3B09" w:rsidRDefault="007C3B09" w:rsidP="007C3B09">
      <w:pPr>
        <w:pStyle w:val="NormalWeb"/>
        <w:spacing w:before="0" w:beforeAutospacing="0" w:after="0" w:afterAutospacing="0"/>
        <w:ind w:right="284"/>
        <w:jc w:val="both"/>
        <w:rPr>
          <w:rFonts w:ascii="Arial" w:hAnsi="Arial" w:cs="Arial"/>
          <w:b/>
        </w:rPr>
      </w:pPr>
    </w:p>
    <w:p w:rsidR="004F161F" w:rsidRDefault="00CE49BB" w:rsidP="007C3B09">
      <w:pPr>
        <w:pStyle w:val="NormalWeb"/>
        <w:spacing w:before="0" w:beforeAutospacing="0" w:after="0" w:afterAutospacing="0"/>
        <w:ind w:right="284"/>
        <w:jc w:val="both"/>
        <w:rPr>
          <w:rFonts w:ascii="Arial" w:hAnsi="Arial" w:cs="Arial"/>
          <w:sz w:val="22"/>
          <w:szCs w:val="22"/>
        </w:rPr>
      </w:pPr>
      <w:r>
        <w:rPr>
          <w:rFonts w:ascii="Arial" w:hAnsi="Arial" w:cs="Arial"/>
          <w:sz w:val="22"/>
          <w:szCs w:val="22"/>
        </w:rPr>
        <w:t xml:space="preserve">La Région Normandie a signé en avril 2017 la </w:t>
      </w:r>
      <w:r w:rsidR="004F161F">
        <w:rPr>
          <w:rFonts w:ascii="Arial" w:hAnsi="Arial" w:cs="Arial"/>
          <w:sz w:val="22"/>
          <w:szCs w:val="22"/>
        </w:rPr>
        <w:t xml:space="preserve">première </w:t>
      </w:r>
      <w:r>
        <w:rPr>
          <w:rFonts w:ascii="Arial" w:hAnsi="Arial" w:cs="Arial"/>
          <w:sz w:val="22"/>
          <w:szCs w:val="22"/>
        </w:rPr>
        <w:t xml:space="preserve">convention </w:t>
      </w:r>
      <w:r w:rsidR="004F161F">
        <w:rPr>
          <w:rFonts w:ascii="Arial" w:hAnsi="Arial" w:cs="Arial"/>
          <w:sz w:val="22"/>
          <w:szCs w:val="22"/>
        </w:rPr>
        <w:t>à l’échel</w:t>
      </w:r>
      <w:r>
        <w:rPr>
          <w:rFonts w:ascii="Arial" w:hAnsi="Arial" w:cs="Arial"/>
          <w:sz w:val="22"/>
          <w:szCs w:val="22"/>
        </w:rPr>
        <w:t xml:space="preserve">le de la Normandie réunifiée, </w:t>
      </w:r>
      <w:r w:rsidR="004F161F">
        <w:rPr>
          <w:rFonts w:ascii="Arial" w:hAnsi="Arial" w:cs="Arial"/>
          <w:sz w:val="22"/>
          <w:szCs w:val="22"/>
        </w:rPr>
        <w:t xml:space="preserve">pour un montant de </w:t>
      </w:r>
      <w:r>
        <w:rPr>
          <w:rFonts w:ascii="Arial" w:hAnsi="Arial" w:cs="Arial"/>
          <w:b/>
          <w:bCs/>
          <w:sz w:val="22"/>
          <w:szCs w:val="22"/>
        </w:rPr>
        <w:t>100 millions d’euros</w:t>
      </w:r>
      <w:r w:rsidR="004F161F">
        <w:rPr>
          <w:rFonts w:ascii="Arial" w:hAnsi="Arial" w:cs="Arial"/>
          <w:sz w:val="22"/>
          <w:szCs w:val="22"/>
        </w:rPr>
        <w:t xml:space="preserve"> jusqu’à fin 2021. </w:t>
      </w:r>
    </w:p>
    <w:p w:rsidR="004F161F" w:rsidRDefault="004F161F" w:rsidP="007C3B09">
      <w:pPr>
        <w:pStyle w:val="NormalWeb"/>
        <w:spacing w:before="0" w:beforeAutospacing="0" w:after="0" w:afterAutospacing="0"/>
        <w:ind w:right="284"/>
        <w:jc w:val="both"/>
        <w:rPr>
          <w:rFonts w:ascii="Arial" w:hAnsi="Arial" w:cs="Arial"/>
          <w:sz w:val="22"/>
          <w:szCs w:val="22"/>
        </w:rPr>
      </w:pPr>
      <w:r>
        <w:rPr>
          <w:rFonts w:ascii="Arial" w:hAnsi="Arial" w:cs="Arial"/>
          <w:sz w:val="22"/>
          <w:szCs w:val="22"/>
        </w:rPr>
        <w:lastRenderedPageBreak/>
        <w:t xml:space="preserve">Cette convention porte sur divers dispositifs pour l’accompagnement et le développement des territoires : </w:t>
      </w:r>
    </w:p>
    <w:p w:rsidR="004F161F" w:rsidRDefault="004F161F" w:rsidP="007C3B09">
      <w:pPr>
        <w:pStyle w:val="NormalWeb"/>
        <w:numPr>
          <w:ilvl w:val="0"/>
          <w:numId w:val="1"/>
        </w:numPr>
        <w:spacing w:before="0" w:beforeAutospacing="0" w:after="0" w:afterAutospacing="0"/>
        <w:ind w:left="714" w:right="284" w:hanging="357"/>
        <w:jc w:val="both"/>
        <w:rPr>
          <w:rFonts w:ascii="Arial" w:hAnsi="Arial" w:cs="Arial"/>
          <w:sz w:val="22"/>
          <w:szCs w:val="22"/>
        </w:rPr>
      </w:pPr>
      <w:r>
        <w:rPr>
          <w:rFonts w:ascii="Arial" w:hAnsi="Arial" w:cs="Arial"/>
          <w:sz w:val="22"/>
          <w:szCs w:val="22"/>
        </w:rPr>
        <w:t>L’habitat : restructuration d’ilots dégradés, minoration foncière pour encourager au développement des logements aidés…</w:t>
      </w:r>
    </w:p>
    <w:p w:rsidR="004F161F" w:rsidRDefault="004F161F" w:rsidP="007C3B09">
      <w:pPr>
        <w:pStyle w:val="NormalWeb"/>
        <w:numPr>
          <w:ilvl w:val="0"/>
          <w:numId w:val="1"/>
        </w:numPr>
        <w:spacing w:before="0" w:beforeAutospacing="0" w:after="0" w:afterAutospacing="0"/>
        <w:ind w:left="714" w:right="284" w:hanging="357"/>
        <w:jc w:val="both"/>
        <w:rPr>
          <w:rFonts w:ascii="Arial" w:hAnsi="Arial" w:cs="Arial"/>
          <w:sz w:val="22"/>
          <w:szCs w:val="22"/>
        </w:rPr>
      </w:pPr>
      <w:r>
        <w:rPr>
          <w:rFonts w:ascii="Arial" w:hAnsi="Arial" w:cs="Arial"/>
          <w:sz w:val="22"/>
          <w:szCs w:val="22"/>
        </w:rPr>
        <w:t>Les expérimentations : revitalisation des centres, secteurs de gares, villes de la reconstruction…</w:t>
      </w:r>
    </w:p>
    <w:p w:rsidR="004F161F" w:rsidRDefault="004F161F" w:rsidP="007C3B09">
      <w:pPr>
        <w:pStyle w:val="NormalWeb"/>
        <w:numPr>
          <w:ilvl w:val="0"/>
          <w:numId w:val="1"/>
        </w:numPr>
        <w:spacing w:before="0" w:beforeAutospacing="0" w:after="0" w:afterAutospacing="0"/>
        <w:ind w:left="714" w:right="284" w:hanging="357"/>
        <w:jc w:val="both"/>
        <w:rPr>
          <w:rFonts w:ascii="Arial" w:hAnsi="Arial" w:cs="Arial"/>
          <w:sz w:val="22"/>
          <w:szCs w:val="22"/>
        </w:rPr>
      </w:pPr>
      <w:r>
        <w:rPr>
          <w:rFonts w:ascii="Arial" w:hAnsi="Arial" w:cs="Arial"/>
          <w:sz w:val="22"/>
          <w:szCs w:val="22"/>
        </w:rPr>
        <w:t>L’observation et les stratégies foncières, déterminantes pour un aménagement durable du territoire,</w:t>
      </w:r>
    </w:p>
    <w:p w:rsidR="004F161F" w:rsidRDefault="004F161F" w:rsidP="007C3B09">
      <w:pPr>
        <w:pStyle w:val="NormalWeb"/>
        <w:numPr>
          <w:ilvl w:val="0"/>
          <w:numId w:val="1"/>
        </w:numPr>
        <w:spacing w:before="0" w:beforeAutospacing="0" w:after="0" w:afterAutospacing="0"/>
        <w:ind w:right="284"/>
        <w:jc w:val="both"/>
        <w:rPr>
          <w:rFonts w:ascii="Arial" w:hAnsi="Arial" w:cs="Arial"/>
          <w:sz w:val="22"/>
          <w:szCs w:val="22"/>
        </w:rPr>
      </w:pPr>
      <w:r>
        <w:rPr>
          <w:rFonts w:ascii="Arial" w:hAnsi="Arial" w:cs="Arial"/>
          <w:sz w:val="22"/>
          <w:szCs w:val="22"/>
        </w:rPr>
        <w:t xml:space="preserve">La résorption et la reconversion des friches, nombreuses sur notre territoire et véritable opportunité de développement dans une logique de rationalisation de la consommation foncière.  </w:t>
      </w:r>
    </w:p>
    <w:p w:rsidR="007C3B09" w:rsidRDefault="007C3B09" w:rsidP="007C3B09">
      <w:pPr>
        <w:pStyle w:val="NormalWeb"/>
        <w:spacing w:before="0" w:beforeAutospacing="0" w:after="0" w:afterAutospacing="0"/>
        <w:ind w:right="284"/>
        <w:jc w:val="both"/>
        <w:rPr>
          <w:rFonts w:ascii="Arial" w:hAnsi="Arial" w:cs="Arial"/>
          <w:sz w:val="22"/>
          <w:szCs w:val="22"/>
        </w:rPr>
      </w:pPr>
    </w:p>
    <w:p w:rsidR="004F161F" w:rsidRDefault="00A54011" w:rsidP="007C3B09">
      <w:pPr>
        <w:pStyle w:val="NormalWeb"/>
        <w:spacing w:before="0" w:beforeAutospacing="0" w:after="0" w:afterAutospacing="0"/>
        <w:ind w:right="284"/>
        <w:jc w:val="both"/>
        <w:rPr>
          <w:rFonts w:ascii="Arial" w:hAnsi="Arial" w:cs="Arial"/>
          <w:sz w:val="22"/>
          <w:szCs w:val="22"/>
        </w:rPr>
      </w:pPr>
      <w:r>
        <w:rPr>
          <w:rFonts w:ascii="Arial" w:hAnsi="Arial" w:cs="Arial"/>
          <w:sz w:val="22"/>
          <w:szCs w:val="22"/>
        </w:rPr>
        <w:t>Le financement de la convention est réparti de la manière suivante :</w:t>
      </w:r>
    </w:p>
    <w:p w:rsidR="004F161F" w:rsidRDefault="00CE49BB" w:rsidP="007C3B09">
      <w:pPr>
        <w:pStyle w:val="NormalWeb"/>
        <w:numPr>
          <w:ilvl w:val="0"/>
          <w:numId w:val="1"/>
        </w:numPr>
        <w:spacing w:before="0" w:beforeAutospacing="0" w:after="0" w:afterAutospacing="0"/>
        <w:ind w:left="714" w:right="284" w:hanging="357"/>
        <w:jc w:val="both"/>
        <w:rPr>
          <w:rFonts w:ascii="Arial" w:hAnsi="Arial" w:cs="Arial"/>
          <w:b/>
          <w:bCs/>
          <w:sz w:val="22"/>
          <w:szCs w:val="22"/>
        </w:rPr>
      </w:pPr>
      <w:r>
        <w:rPr>
          <w:rFonts w:ascii="Arial" w:hAnsi="Arial" w:cs="Arial"/>
          <w:b/>
          <w:bCs/>
          <w:sz w:val="22"/>
          <w:szCs w:val="22"/>
        </w:rPr>
        <w:t>Région : 31,17 millions d’euros</w:t>
      </w:r>
    </w:p>
    <w:p w:rsidR="004F161F" w:rsidRDefault="00CE49BB" w:rsidP="007C3B09">
      <w:pPr>
        <w:pStyle w:val="NormalWeb"/>
        <w:numPr>
          <w:ilvl w:val="0"/>
          <w:numId w:val="1"/>
        </w:numPr>
        <w:spacing w:before="0" w:beforeAutospacing="0" w:after="0" w:afterAutospacing="0"/>
        <w:ind w:left="714" w:right="284" w:hanging="357"/>
        <w:jc w:val="both"/>
        <w:rPr>
          <w:rFonts w:ascii="Arial" w:hAnsi="Arial" w:cs="Arial"/>
          <w:sz w:val="22"/>
          <w:szCs w:val="22"/>
        </w:rPr>
      </w:pPr>
      <w:r>
        <w:rPr>
          <w:rFonts w:ascii="Arial" w:hAnsi="Arial" w:cs="Arial"/>
          <w:sz w:val="22"/>
          <w:szCs w:val="22"/>
        </w:rPr>
        <w:t>Collectivités : 30,96 millions d’euros</w:t>
      </w:r>
    </w:p>
    <w:p w:rsidR="004F161F" w:rsidRDefault="004F161F" w:rsidP="007C3B09">
      <w:pPr>
        <w:pStyle w:val="NormalWeb"/>
        <w:numPr>
          <w:ilvl w:val="0"/>
          <w:numId w:val="1"/>
        </w:numPr>
        <w:spacing w:before="0" w:beforeAutospacing="0" w:after="0" w:afterAutospacing="0"/>
        <w:ind w:left="714" w:right="284" w:hanging="357"/>
        <w:jc w:val="both"/>
        <w:rPr>
          <w:rFonts w:ascii="Arial" w:hAnsi="Arial" w:cs="Arial"/>
          <w:sz w:val="22"/>
          <w:szCs w:val="22"/>
        </w:rPr>
      </w:pPr>
      <w:r>
        <w:rPr>
          <w:rFonts w:ascii="Arial" w:hAnsi="Arial" w:cs="Arial"/>
          <w:sz w:val="22"/>
          <w:szCs w:val="22"/>
        </w:rPr>
        <w:t>EPF Norman</w:t>
      </w:r>
      <w:r w:rsidR="00CE49BB">
        <w:rPr>
          <w:rFonts w:ascii="Arial" w:hAnsi="Arial" w:cs="Arial"/>
          <w:sz w:val="22"/>
          <w:szCs w:val="22"/>
        </w:rPr>
        <w:t>die, maître d’ouvrage : 35,87 millions d’euros</w:t>
      </w:r>
    </w:p>
    <w:p w:rsidR="004F161F" w:rsidRDefault="004F161F" w:rsidP="007C3B09">
      <w:pPr>
        <w:pStyle w:val="NormalWeb"/>
        <w:numPr>
          <w:ilvl w:val="0"/>
          <w:numId w:val="1"/>
        </w:numPr>
        <w:spacing w:before="0" w:beforeAutospacing="0" w:after="0" w:afterAutospacing="0"/>
        <w:ind w:left="714" w:right="284" w:hanging="357"/>
        <w:jc w:val="both"/>
        <w:rPr>
          <w:rFonts w:ascii="Arial" w:hAnsi="Arial" w:cs="Arial"/>
          <w:sz w:val="22"/>
          <w:szCs w:val="22"/>
        </w:rPr>
      </w:pPr>
      <w:r>
        <w:rPr>
          <w:rFonts w:ascii="Arial" w:hAnsi="Arial" w:cs="Arial"/>
          <w:sz w:val="22"/>
          <w:szCs w:val="22"/>
        </w:rPr>
        <w:t>Autre</w:t>
      </w:r>
      <w:r w:rsidR="00CE49BB">
        <w:rPr>
          <w:rFonts w:ascii="Arial" w:hAnsi="Arial" w:cs="Arial"/>
          <w:sz w:val="22"/>
          <w:szCs w:val="22"/>
        </w:rPr>
        <w:t>s financements dont FEDER : 2 millions d’euros</w:t>
      </w:r>
    </w:p>
    <w:p w:rsidR="00CE49BB" w:rsidRDefault="00CE49BB" w:rsidP="007C3B09">
      <w:pPr>
        <w:pStyle w:val="NormalWeb"/>
        <w:spacing w:before="0" w:beforeAutospacing="0" w:after="0" w:afterAutospacing="0"/>
        <w:ind w:right="284"/>
        <w:rPr>
          <w:rFonts w:ascii="Arial" w:hAnsi="Arial" w:cs="Arial"/>
          <w:sz w:val="22"/>
          <w:szCs w:val="22"/>
        </w:rPr>
      </w:pPr>
    </w:p>
    <w:p w:rsidR="00000000" w:rsidRPr="00CE49BB" w:rsidRDefault="006F04C0" w:rsidP="007C3B09">
      <w:pPr>
        <w:pStyle w:val="NormalWeb"/>
        <w:spacing w:before="0" w:beforeAutospacing="0" w:after="0" w:afterAutospacing="0"/>
        <w:ind w:right="284"/>
        <w:rPr>
          <w:rFonts w:ascii="Arial" w:hAnsi="Arial" w:cs="Arial"/>
          <w:sz w:val="22"/>
          <w:szCs w:val="22"/>
        </w:rPr>
      </w:pPr>
      <w:r w:rsidRPr="00CE49BB">
        <w:rPr>
          <w:rFonts w:ascii="Arial" w:hAnsi="Arial" w:cs="Arial"/>
          <w:sz w:val="22"/>
          <w:szCs w:val="22"/>
        </w:rPr>
        <w:t>Fin 2</w:t>
      </w:r>
      <w:r w:rsidRPr="00CE49BB">
        <w:rPr>
          <w:rFonts w:ascii="Arial" w:hAnsi="Arial" w:cs="Arial"/>
          <w:sz w:val="22"/>
          <w:szCs w:val="22"/>
        </w:rPr>
        <w:t xml:space="preserve">019, </w:t>
      </w:r>
      <w:r w:rsidR="00A54011">
        <w:rPr>
          <w:rFonts w:ascii="Arial" w:hAnsi="Arial" w:cs="Arial"/>
          <w:sz w:val="22"/>
          <w:szCs w:val="22"/>
        </w:rPr>
        <w:t xml:space="preserve">le </w:t>
      </w:r>
      <w:r w:rsidRPr="00CE49BB">
        <w:rPr>
          <w:rFonts w:ascii="Arial" w:hAnsi="Arial" w:cs="Arial"/>
          <w:sz w:val="22"/>
          <w:szCs w:val="22"/>
        </w:rPr>
        <w:t xml:space="preserve">taux d’engagement de la convention </w:t>
      </w:r>
      <w:r w:rsidR="00A54011">
        <w:rPr>
          <w:rFonts w:ascii="Arial" w:hAnsi="Arial" w:cs="Arial"/>
          <w:sz w:val="22"/>
          <w:szCs w:val="22"/>
        </w:rPr>
        <w:t xml:space="preserve">est </w:t>
      </w:r>
      <w:r w:rsidRPr="00CE49BB">
        <w:rPr>
          <w:rFonts w:ascii="Arial" w:hAnsi="Arial" w:cs="Arial"/>
          <w:sz w:val="22"/>
          <w:szCs w:val="22"/>
        </w:rPr>
        <w:t xml:space="preserve">de </w:t>
      </w:r>
      <w:r w:rsidRPr="00CE49BB">
        <w:rPr>
          <w:rFonts w:ascii="Arial" w:hAnsi="Arial" w:cs="Arial"/>
          <w:b/>
          <w:bCs/>
          <w:sz w:val="22"/>
          <w:szCs w:val="22"/>
        </w:rPr>
        <w:t xml:space="preserve">83% </w:t>
      </w:r>
      <w:r w:rsidRPr="00CE49BB">
        <w:rPr>
          <w:rFonts w:ascii="Arial" w:hAnsi="Arial" w:cs="Arial"/>
          <w:sz w:val="22"/>
          <w:szCs w:val="22"/>
        </w:rPr>
        <w:t xml:space="preserve">dont : </w:t>
      </w:r>
    </w:p>
    <w:p w:rsidR="00CE49BB" w:rsidRPr="00CE49BB" w:rsidRDefault="00CE49BB" w:rsidP="007C3B09">
      <w:pPr>
        <w:pStyle w:val="NormalWeb"/>
        <w:numPr>
          <w:ilvl w:val="0"/>
          <w:numId w:val="4"/>
        </w:numPr>
        <w:spacing w:before="0" w:beforeAutospacing="0" w:after="0" w:afterAutospacing="0"/>
        <w:ind w:right="284"/>
        <w:rPr>
          <w:rFonts w:ascii="Arial" w:hAnsi="Arial" w:cs="Arial"/>
          <w:sz w:val="22"/>
          <w:szCs w:val="22"/>
        </w:rPr>
      </w:pPr>
      <w:r>
        <w:rPr>
          <w:rFonts w:ascii="Arial" w:hAnsi="Arial" w:cs="Arial"/>
          <w:sz w:val="22"/>
          <w:szCs w:val="22"/>
        </w:rPr>
        <w:t>73,5 millions d’euros</w:t>
      </w:r>
      <w:r w:rsidRPr="00CE49BB">
        <w:rPr>
          <w:rFonts w:ascii="Arial" w:hAnsi="Arial" w:cs="Arial"/>
          <w:sz w:val="22"/>
          <w:szCs w:val="22"/>
        </w:rPr>
        <w:t xml:space="preserve"> sur le traitement des friches (études et travaux)</w:t>
      </w:r>
    </w:p>
    <w:p w:rsidR="00CE49BB" w:rsidRPr="00CE49BB" w:rsidRDefault="00CE49BB" w:rsidP="007C3B09">
      <w:pPr>
        <w:pStyle w:val="NormalWeb"/>
        <w:numPr>
          <w:ilvl w:val="0"/>
          <w:numId w:val="4"/>
        </w:numPr>
        <w:spacing w:before="0" w:beforeAutospacing="0" w:after="0" w:afterAutospacing="0"/>
        <w:ind w:right="284"/>
        <w:rPr>
          <w:rFonts w:ascii="Arial" w:hAnsi="Arial" w:cs="Arial"/>
          <w:sz w:val="22"/>
          <w:szCs w:val="22"/>
        </w:rPr>
      </w:pPr>
      <w:r>
        <w:rPr>
          <w:rFonts w:ascii="Arial" w:hAnsi="Arial" w:cs="Arial"/>
          <w:sz w:val="22"/>
          <w:szCs w:val="22"/>
        </w:rPr>
        <w:t>4 millions d’euros</w:t>
      </w:r>
      <w:r w:rsidRPr="00CE49BB">
        <w:rPr>
          <w:rFonts w:ascii="Arial" w:hAnsi="Arial" w:cs="Arial"/>
          <w:sz w:val="22"/>
          <w:szCs w:val="22"/>
        </w:rPr>
        <w:t xml:space="preserve"> sur la minoration foncière pour le développement de logements aidés</w:t>
      </w:r>
      <w:r w:rsidRPr="00CE49BB">
        <w:rPr>
          <w:rFonts w:ascii="Arial" w:hAnsi="Arial" w:cs="Arial"/>
          <w:sz w:val="22"/>
          <w:szCs w:val="22"/>
        </w:rPr>
        <w:tab/>
      </w:r>
    </w:p>
    <w:p w:rsidR="00CE49BB" w:rsidRPr="00CE49BB" w:rsidRDefault="002A516F" w:rsidP="007C3B09">
      <w:pPr>
        <w:pStyle w:val="NormalWeb"/>
        <w:numPr>
          <w:ilvl w:val="0"/>
          <w:numId w:val="4"/>
        </w:numPr>
        <w:spacing w:before="0" w:beforeAutospacing="0" w:after="0" w:afterAutospacing="0"/>
        <w:ind w:right="284"/>
        <w:rPr>
          <w:rFonts w:ascii="Arial" w:hAnsi="Arial" w:cs="Arial"/>
          <w:sz w:val="22"/>
          <w:szCs w:val="22"/>
        </w:rPr>
      </w:pPr>
      <w:r>
        <w:rPr>
          <w:rFonts w:ascii="Arial" w:hAnsi="Arial" w:cs="Arial"/>
          <w:sz w:val="22"/>
          <w:szCs w:val="22"/>
        </w:rPr>
        <w:t>2,9 millions d’euros</w:t>
      </w:r>
      <w:r w:rsidR="00CE49BB" w:rsidRPr="00CE49BB">
        <w:rPr>
          <w:rFonts w:ascii="Arial" w:hAnsi="Arial" w:cs="Arial"/>
          <w:sz w:val="22"/>
          <w:szCs w:val="22"/>
        </w:rPr>
        <w:t xml:space="preserve"> pour les expérimentations (revitalisatio</w:t>
      </w:r>
      <w:r>
        <w:rPr>
          <w:rFonts w:ascii="Arial" w:hAnsi="Arial" w:cs="Arial"/>
          <w:sz w:val="22"/>
          <w:szCs w:val="22"/>
        </w:rPr>
        <w:t xml:space="preserve">n des centres, études secteurs </w:t>
      </w:r>
      <w:r w:rsidR="00CE49BB" w:rsidRPr="00CE49BB">
        <w:rPr>
          <w:rFonts w:ascii="Arial" w:hAnsi="Arial" w:cs="Arial"/>
          <w:sz w:val="22"/>
          <w:szCs w:val="22"/>
        </w:rPr>
        <w:t>de gares…)</w:t>
      </w:r>
    </w:p>
    <w:p w:rsidR="00CE49BB" w:rsidRDefault="00CE49BB" w:rsidP="007C3B09">
      <w:pPr>
        <w:pStyle w:val="NormalWeb"/>
        <w:spacing w:before="0" w:beforeAutospacing="0" w:after="0" w:afterAutospacing="0"/>
        <w:ind w:right="284"/>
        <w:jc w:val="both"/>
        <w:rPr>
          <w:rFonts w:ascii="Arial" w:hAnsi="Arial" w:cs="Arial"/>
          <w:sz w:val="22"/>
          <w:szCs w:val="22"/>
        </w:rPr>
      </w:pPr>
    </w:p>
    <w:p w:rsidR="004F161F" w:rsidRDefault="004F161F" w:rsidP="007C3B09">
      <w:pPr>
        <w:pStyle w:val="NormalWeb"/>
        <w:spacing w:before="0" w:beforeAutospacing="0" w:after="0" w:afterAutospacing="0"/>
        <w:ind w:right="284"/>
        <w:jc w:val="both"/>
        <w:rPr>
          <w:rFonts w:ascii="Arial" w:hAnsi="Arial" w:cs="Arial"/>
          <w:sz w:val="22"/>
          <w:szCs w:val="22"/>
        </w:rPr>
      </w:pPr>
      <w:r>
        <w:rPr>
          <w:rFonts w:ascii="Arial" w:hAnsi="Arial" w:cs="Arial"/>
          <w:sz w:val="22"/>
          <w:szCs w:val="22"/>
        </w:rPr>
        <w:t xml:space="preserve">Les taux d’intervention </w:t>
      </w:r>
      <w:r w:rsidR="00CE49BB">
        <w:rPr>
          <w:rFonts w:ascii="Arial" w:hAnsi="Arial" w:cs="Arial"/>
          <w:sz w:val="22"/>
          <w:szCs w:val="22"/>
        </w:rPr>
        <w:t xml:space="preserve">sont </w:t>
      </w:r>
      <w:r>
        <w:rPr>
          <w:rFonts w:ascii="Arial" w:hAnsi="Arial" w:cs="Arial"/>
          <w:sz w:val="22"/>
          <w:szCs w:val="22"/>
        </w:rPr>
        <w:t>différenciés en fonction de la typologie des terri</w:t>
      </w:r>
      <w:r w:rsidR="00CE49BB">
        <w:rPr>
          <w:rFonts w:ascii="Arial" w:hAnsi="Arial" w:cs="Arial"/>
          <w:sz w:val="22"/>
          <w:szCs w:val="22"/>
        </w:rPr>
        <w:t>toires. P</w:t>
      </w:r>
      <w:r>
        <w:rPr>
          <w:rFonts w:ascii="Arial" w:hAnsi="Arial" w:cs="Arial"/>
          <w:sz w:val="22"/>
          <w:szCs w:val="22"/>
        </w:rPr>
        <w:t xml:space="preserve">lus favorables aux petites centralités et aux villes moyennes, </w:t>
      </w:r>
      <w:r w:rsidR="00CE49BB">
        <w:rPr>
          <w:rFonts w:ascii="Arial" w:hAnsi="Arial" w:cs="Arial"/>
          <w:sz w:val="22"/>
          <w:szCs w:val="22"/>
        </w:rPr>
        <w:t xml:space="preserve">ces taux </w:t>
      </w:r>
      <w:r>
        <w:rPr>
          <w:rFonts w:ascii="Arial" w:hAnsi="Arial" w:cs="Arial"/>
          <w:sz w:val="22"/>
          <w:szCs w:val="22"/>
        </w:rPr>
        <w:t xml:space="preserve">ont permis de créer une réelle dynamique sur tout le territoire normand, appuyée par la politique de contractualisation régionale avec les EPCI. </w:t>
      </w:r>
    </w:p>
    <w:p w:rsidR="004F161F" w:rsidRDefault="004F161F" w:rsidP="007C3B09">
      <w:pPr>
        <w:pStyle w:val="NormalWeb"/>
        <w:numPr>
          <w:ilvl w:val="0"/>
          <w:numId w:val="1"/>
        </w:numPr>
        <w:spacing w:before="0" w:beforeAutospacing="0" w:after="0" w:afterAutospacing="0"/>
        <w:ind w:right="284"/>
        <w:rPr>
          <w:rFonts w:ascii="Arial" w:hAnsi="Arial" w:cs="Arial"/>
          <w:sz w:val="22"/>
          <w:szCs w:val="22"/>
        </w:rPr>
      </w:pPr>
      <w:r>
        <w:rPr>
          <w:rFonts w:ascii="Arial" w:hAnsi="Arial" w:cs="Arial"/>
          <w:sz w:val="22"/>
          <w:szCs w:val="22"/>
        </w:rPr>
        <w:t xml:space="preserve">EPCI de Caen, Rouen et Le Havre : </w:t>
      </w:r>
      <w:r>
        <w:rPr>
          <w:rFonts w:ascii="Arial" w:hAnsi="Arial" w:cs="Arial"/>
          <w:b/>
          <w:bCs/>
          <w:sz w:val="22"/>
          <w:szCs w:val="22"/>
        </w:rPr>
        <w:t xml:space="preserve">Région 25% </w:t>
      </w:r>
      <w:r>
        <w:rPr>
          <w:rFonts w:ascii="Arial" w:hAnsi="Arial" w:cs="Arial"/>
          <w:sz w:val="22"/>
          <w:szCs w:val="22"/>
        </w:rPr>
        <w:t>- EPF 35% - collectivité 40%</w:t>
      </w:r>
    </w:p>
    <w:p w:rsidR="004F161F" w:rsidRDefault="004F161F" w:rsidP="007C3B09">
      <w:pPr>
        <w:pStyle w:val="NormalWeb"/>
        <w:numPr>
          <w:ilvl w:val="0"/>
          <w:numId w:val="1"/>
        </w:numPr>
        <w:spacing w:before="0" w:beforeAutospacing="0" w:after="0" w:afterAutospacing="0"/>
        <w:ind w:right="284"/>
        <w:rPr>
          <w:rFonts w:ascii="Arial" w:hAnsi="Arial" w:cs="Arial"/>
          <w:sz w:val="22"/>
          <w:szCs w:val="22"/>
        </w:rPr>
      </w:pPr>
      <w:r>
        <w:rPr>
          <w:rFonts w:ascii="Arial" w:hAnsi="Arial" w:cs="Arial"/>
          <w:sz w:val="22"/>
          <w:szCs w:val="22"/>
        </w:rPr>
        <w:t xml:space="preserve">EPCI des 24 villes moyennes : </w:t>
      </w:r>
      <w:r>
        <w:rPr>
          <w:rFonts w:ascii="Arial" w:hAnsi="Arial" w:cs="Arial"/>
          <w:b/>
          <w:bCs/>
          <w:sz w:val="22"/>
          <w:szCs w:val="22"/>
        </w:rPr>
        <w:t xml:space="preserve">Région 40% </w:t>
      </w:r>
      <w:r>
        <w:rPr>
          <w:rFonts w:ascii="Arial" w:hAnsi="Arial" w:cs="Arial"/>
          <w:sz w:val="22"/>
          <w:szCs w:val="22"/>
        </w:rPr>
        <w:t>- EPF 35% - collectivité 25%</w:t>
      </w:r>
    </w:p>
    <w:p w:rsidR="004F161F" w:rsidRDefault="004F161F" w:rsidP="007C3B09">
      <w:pPr>
        <w:pStyle w:val="NormalWeb"/>
        <w:numPr>
          <w:ilvl w:val="0"/>
          <w:numId w:val="1"/>
        </w:numPr>
        <w:spacing w:before="0" w:beforeAutospacing="0" w:after="0" w:afterAutospacing="0"/>
        <w:ind w:right="284"/>
        <w:rPr>
          <w:rFonts w:ascii="Arial" w:hAnsi="Arial" w:cs="Arial"/>
          <w:sz w:val="22"/>
          <w:szCs w:val="22"/>
        </w:rPr>
      </w:pPr>
      <w:r>
        <w:rPr>
          <w:rFonts w:ascii="Arial" w:hAnsi="Arial" w:cs="Arial"/>
          <w:sz w:val="22"/>
          <w:szCs w:val="22"/>
        </w:rPr>
        <w:t xml:space="preserve">EPCI à dominante rurale : </w:t>
      </w:r>
      <w:r>
        <w:rPr>
          <w:rFonts w:ascii="Arial" w:hAnsi="Arial" w:cs="Arial"/>
          <w:b/>
          <w:bCs/>
          <w:sz w:val="22"/>
          <w:szCs w:val="22"/>
        </w:rPr>
        <w:t xml:space="preserve">Région 35% </w:t>
      </w:r>
      <w:r>
        <w:rPr>
          <w:rFonts w:ascii="Arial" w:hAnsi="Arial" w:cs="Arial"/>
          <w:sz w:val="22"/>
          <w:szCs w:val="22"/>
        </w:rPr>
        <w:t>- EPF 45% - collectivité 20%</w:t>
      </w:r>
    </w:p>
    <w:p w:rsidR="004F161F" w:rsidRDefault="004F161F" w:rsidP="007C3B09">
      <w:pPr>
        <w:pStyle w:val="NormalWeb"/>
        <w:spacing w:before="0" w:beforeAutospacing="0" w:after="0" w:afterAutospacing="0"/>
        <w:ind w:left="714" w:right="284"/>
        <w:rPr>
          <w:rFonts w:ascii="Arial" w:hAnsi="Arial" w:cs="Arial"/>
          <w:sz w:val="22"/>
          <w:szCs w:val="22"/>
        </w:rPr>
      </w:pPr>
    </w:p>
    <w:p w:rsidR="004F161F" w:rsidRDefault="004F161F" w:rsidP="007C3B09">
      <w:pPr>
        <w:pStyle w:val="NormalWeb"/>
        <w:spacing w:before="0" w:beforeAutospacing="0" w:after="0" w:afterAutospacing="0"/>
        <w:ind w:right="284"/>
        <w:jc w:val="both"/>
        <w:rPr>
          <w:rFonts w:ascii="Arial" w:hAnsi="Arial" w:cs="Arial"/>
          <w:sz w:val="22"/>
          <w:szCs w:val="22"/>
        </w:rPr>
      </w:pPr>
      <w:r>
        <w:rPr>
          <w:rFonts w:ascii="Arial" w:hAnsi="Arial" w:cs="Arial"/>
          <w:sz w:val="22"/>
          <w:szCs w:val="22"/>
        </w:rPr>
        <w:t xml:space="preserve">Ainsi, depuis 2017, </w:t>
      </w:r>
      <w:r>
        <w:rPr>
          <w:rFonts w:ascii="Arial" w:hAnsi="Arial" w:cs="Arial"/>
          <w:b/>
          <w:bCs/>
          <w:sz w:val="22"/>
          <w:szCs w:val="22"/>
        </w:rPr>
        <w:t>229 communes</w:t>
      </w:r>
      <w:r>
        <w:rPr>
          <w:rFonts w:ascii="Arial" w:hAnsi="Arial" w:cs="Arial"/>
          <w:sz w:val="22"/>
          <w:szCs w:val="22"/>
        </w:rPr>
        <w:t xml:space="preserve"> ont bénéficié du soutien de la Région et de l’EPF, </w:t>
      </w:r>
      <w:r w:rsidR="007C3B09">
        <w:rPr>
          <w:rFonts w:ascii="Arial" w:hAnsi="Arial" w:cs="Arial"/>
          <w:sz w:val="22"/>
          <w:szCs w:val="22"/>
        </w:rPr>
        <w:t xml:space="preserve"> concernant</w:t>
      </w:r>
      <w:r>
        <w:rPr>
          <w:rFonts w:ascii="Arial" w:hAnsi="Arial" w:cs="Arial"/>
          <w:sz w:val="22"/>
          <w:szCs w:val="22"/>
        </w:rPr>
        <w:t xml:space="preserve"> </w:t>
      </w:r>
      <w:r>
        <w:rPr>
          <w:rFonts w:ascii="Arial" w:hAnsi="Arial" w:cs="Arial"/>
          <w:b/>
          <w:bCs/>
          <w:sz w:val="22"/>
          <w:szCs w:val="22"/>
        </w:rPr>
        <w:t xml:space="preserve">376 sites </w:t>
      </w:r>
      <w:r>
        <w:rPr>
          <w:rFonts w:ascii="Arial" w:hAnsi="Arial" w:cs="Arial"/>
          <w:sz w:val="22"/>
          <w:szCs w:val="22"/>
        </w:rPr>
        <w:t xml:space="preserve">répartis sur tout le territoire. </w:t>
      </w:r>
    </w:p>
    <w:p w:rsidR="007C3B09" w:rsidRDefault="007C3B09" w:rsidP="007C3B09">
      <w:pPr>
        <w:pStyle w:val="NormalWeb"/>
        <w:spacing w:before="0" w:beforeAutospacing="0" w:after="0" w:afterAutospacing="0"/>
        <w:ind w:right="284"/>
        <w:jc w:val="both"/>
        <w:rPr>
          <w:rFonts w:ascii="Arial" w:hAnsi="Arial" w:cs="Arial"/>
          <w:sz w:val="22"/>
          <w:szCs w:val="22"/>
        </w:rPr>
      </w:pPr>
    </w:p>
    <w:p w:rsidR="004F161F" w:rsidRDefault="004F161F" w:rsidP="007C3B09">
      <w:pPr>
        <w:pStyle w:val="NormalWeb"/>
        <w:spacing w:before="0" w:beforeAutospacing="0" w:after="0" w:afterAutospacing="0"/>
        <w:ind w:right="284"/>
        <w:jc w:val="both"/>
        <w:rPr>
          <w:rFonts w:ascii="Arial" w:hAnsi="Arial" w:cs="Arial"/>
          <w:sz w:val="22"/>
          <w:szCs w:val="22"/>
        </w:rPr>
      </w:pPr>
      <w:r>
        <w:rPr>
          <w:rFonts w:ascii="Arial" w:hAnsi="Arial" w:cs="Arial"/>
          <w:b/>
          <w:bCs/>
          <w:sz w:val="22"/>
          <w:szCs w:val="22"/>
        </w:rPr>
        <w:t xml:space="preserve">285 </w:t>
      </w:r>
      <w:r w:rsidR="00CF2035">
        <w:rPr>
          <w:rFonts w:ascii="Arial" w:hAnsi="Arial" w:cs="Arial"/>
          <w:b/>
          <w:bCs/>
          <w:sz w:val="22"/>
          <w:szCs w:val="22"/>
        </w:rPr>
        <w:t xml:space="preserve">friches d’activité </w:t>
      </w:r>
      <w:r w:rsidR="00CF2035" w:rsidRPr="00CF2035">
        <w:rPr>
          <w:rFonts w:ascii="Arial" w:hAnsi="Arial" w:cs="Arial"/>
          <w:bCs/>
          <w:sz w:val="22"/>
          <w:szCs w:val="22"/>
        </w:rPr>
        <w:t>ont fait l’objet d’un</w:t>
      </w:r>
      <w:r>
        <w:rPr>
          <w:rFonts w:ascii="Arial" w:hAnsi="Arial" w:cs="Arial"/>
          <w:sz w:val="22"/>
          <w:szCs w:val="22"/>
        </w:rPr>
        <w:t xml:space="preserve"> traitement et d’une requalification. L’ouverture du fonds friches aux démolitions de bâtiments ou de logements sociaux amiantés a permis de répondre aux besoins des territoires, démunis devant les surcoûts engendrés par le désamiantage.</w:t>
      </w:r>
    </w:p>
    <w:p w:rsidR="004F161F" w:rsidRDefault="004F161F" w:rsidP="007C3B09">
      <w:pPr>
        <w:pStyle w:val="NormalWeb"/>
        <w:spacing w:before="0" w:beforeAutospacing="0" w:after="0" w:afterAutospacing="0"/>
        <w:ind w:right="284"/>
        <w:jc w:val="both"/>
        <w:rPr>
          <w:rFonts w:ascii="Arial" w:hAnsi="Arial" w:cs="Arial"/>
          <w:sz w:val="22"/>
          <w:szCs w:val="22"/>
        </w:rPr>
      </w:pPr>
      <w:r>
        <w:rPr>
          <w:rFonts w:ascii="Arial" w:hAnsi="Arial" w:cs="Arial"/>
          <w:sz w:val="22"/>
          <w:szCs w:val="22"/>
        </w:rPr>
        <w:t xml:space="preserve">Les sites à traiter sont divers et variés : </w:t>
      </w:r>
    </w:p>
    <w:p w:rsidR="004F161F" w:rsidRDefault="004F161F" w:rsidP="007C3B09">
      <w:pPr>
        <w:pStyle w:val="NormalWeb"/>
        <w:numPr>
          <w:ilvl w:val="0"/>
          <w:numId w:val="1"/>
        </w:numPr>
        <w:spacing w:before="0" w:beforeAutospacing="0" w:after="0" w:afterAutospacing="0"/>
        <w:ind w:right="284"/>
        <w:jc w:val="both"/>
        <w:rPr>
          <w:rFonts w:ascii="Arial" w:hAnsi="Arial" w:cs="Arial"/>
          <w:sz w:val="22"/>
          <w:szCs w:val="22"/>
        </w:rPr>
      </w:pPr>
      <w:r>
        <w:rPr>
          <w:rFonts w:ascii="Arial" w:hAnsi="Arial" w:cs="Arial"/>
          <w:sz w:val="22"/>
          <w:szCs w:val="22"/>
        </w:rPr>
        <w:t>de par leur nature : anciennes usines, anciens équipements publics obsolètes, anciennes gares désaffectées…</w:t>
      </w:r>
    </w:p>
    <w:p w:rsidR="004F161F" w:rsidRDefault="004F161F" w:rsidP="007C3B09">
      <w:pPr>
        <w:pStyle w:val="NormalWeb"/>
        <w:numPr>
          <w:ilvl w:val="0"/>
          <w:numId w:val="1"/>
        </w:numPr>
        <w:spacing w:before="0" w:beforeAutospacing="0" w:after="0" w:afterAutospacing="0"/>
        <w:ind w:right="284"/>
        <w:jc w:val="both"/>
        <w:rPr>
          <w:rFonts w:ascii="Arial" w:hAnsi="Arial" w:cs="Arial"/>
          <w:sz w:val="22"/>
          <w:szCs w:val="22"/>
        </w:rPr>
      </w:pPr>
      <w:r>
        <w:rPr>
          <w:rFonts w:ascii="Arial" w:hAnsi="Arial" w:cs="Arial"/>
          <w:sz w:val="22"/>
          <w:szCs w:val="22"/>
        </w:rPr>
        <w:t>de par leur taille allant de 1 000 m² pour les sites les plus modestes à plusieurs dizaines d’hectares pour les sites les plus grands,</w:t>
      </w:r>
    </w:p>
    <w:p w:rsidR="004F161F" w:rsidRDefault="004F161F" w:rsidP="007C3B09">
      <w:pPr>
        <w:pStyle w:val="NormalWeb"/>
        <w:numPr>
          <w:ilvl w:val="0"/>
          <w:numId w:val="1"/>
        </w:numPr>
        <w:spacing w:before="0" w:beforeAutospacing="0" w:after="0" w:afterAutospacing="0"/>
        <w:ind w:right="284"/>
        <w:jc w:val="both"/>
        <w:rPr>
          <w:rFonts w:ascii="Arial" w:hAnsi="Arial" w:cs="Arial"/>
          <w:sz w:val="22"/>
          <w:szCs w:val="22"/>
        </w:rPr>
      </w:pPr>
      <w:r>
        <w:rPr>
          <w:rFonts w:ascii="Arial" w:hAnsi="Arial" w:cs="Arial"/>
          <w:sz w:val="22"/>
          <w:szCs w:val="22"/>
        </w:rPr>
        <w:t>de par leur état avec certains sites présentant un intérêt patrimonial (anciens bâtiments industriels par exemple à réhabiliter avec un nouvel usage à trouver), d’autres où tout est à démolir pour faire place nette, d’autres où une importante dépollution des sols est nécessaire…</w:t>
      </w:r>
    </w:p>
    <w:p w:rsidR="007C3B09" w:rsidRDefault="007C3B09" w:rsidP="007C3B09">
      <w:pPr>
        <w:pStyle w:val="NormalWeb"/>
        <w:spacing w:before="0" w:beforeAutospacing="0" w:after="0" w:afterAutospacing="0"/>
        <w:ind w:left="720" w:right="284"/>
        <w:jc w:val="both"/>
        <w:rPr>
          <w:rFonts w:ascii="Arial" w:hAnsi="Arial" w:cs="Arial"/>
          <w:sz w:val="22"/>
          <w:szCs w:val="22"/>
        </w:rPr>
      </w:pPr>
    </w:p>
    <w:p w:rsidR="004F161F" w:rsidRDefault="004F161F" w:rsidP="007C3B09">
      <w:pPr>
        <w:pStyle w:val="NormalWeb"/>
        <w:spacing w:before="0" w:beforeAutospacing="0" w:after="0" w:afterAutospacing="0"/>
        <w:ind w:right="284"/>
        <w:jc w:val="both"/>
        <w:rPr>
          <w:rFonts w:ascii="Arial" w:hAnsi="Arial" w:cs="Arial"/>
          <w:sz w:val="22"/>
          <w:szCs w:val="22"/>
        </w:rPr>
      </w:pPr>
      <w:r>
        <w:rPr>
          <w:rFonts w:ascii="Arial" w:hAnsi="Arial" w:cs="Arial"/>
          <w:sz w:val="22"/>
          <w:szCs w:val="22"/>
        </w:rPr>
        <w:t>Les friches laissent place à des projets de logements, d’accueil d’activités économiques, d’installation d’</w:t>
      </w:r>
      <w:r w:rsidR="007C3B09">
        <w:rPr>
          <w:rFonts w:ascii="Arial" w:hAnsi="Arial" w:cs="Arial"/>
          <w:sz w:val="22"/>
          <w:szCs w:val="22"/>
        </w:rPr>
        <w:t>équipements publics.</w:t>
      </w:r>
      <w:r>
        <w:rPr>
          <w:rFonts w:ascii="Arial" w:hAnsi="Arial" w:cs="Arial"/>
          <w:sz w:val="22"/>
          <w:szCs w:val="22"/>
        </w:rPr>
        <w:t xml:space="preserve"> La réutilisation de ce foncier, souvent bien situé, entre en parfaite cohérence avec les orientations du SRADDET de diminuer la consommation excessive de terres agricoles et naturelles en renouvelant la ville sur elle-même.   </w:t>
      </w:r>
    </w:p>
    <w:p w:rsidR="007C3B09" w:rsidRDefault="007C3B09" w:rsidP="007C3B09">
      <w:pPr>
        <w:pStyle w:val="NormalWeb"/>
        <w:spacing w:before="0" w:beforeAutospacing="0" w:after="0" w:afterAutospacing="0"/>
        <w:ind w:right="284"/>
        <w:jc w:val="both"/>
        <w:rPr>
          <w:rFonts w:ascii="Arial" w:hAnsi="Arial" w:cs="Arial"/>
          <w:sz w:val="22"/>
          <w:szCs w:val="22"/>
        </w:rPr>
      </w:pPr>
    </w:p>
    <w:p w:rsidR="004F161F" w:rsidRDefault="004F161F" w:rsidP="007C3B09">
      <w:pPr>
        <w:pStyle w:val="NormalWeb"/>
        <w:spacing w:before="0" w:beforeAutospacing="0" w:after="0" w:afterAutospacing="0"/>
        <w:ind w:right="284"/>
        <w:jc w:val="both"/>
        <w:rPr>
          <w:rFonts w:ascii="Arial" w:hAnsi="Arial" w:cs="Arial"/>
          <w:sz w:val="22"/>
          <w:szCs w:val="22"/>
        </w:rPr>
      </w:pPr>
      <w:r>
        <w:rPr>
          <w:rFonts w:ascii="Arial" w:hAnsi="Arial" w:cs="Arial"/>
          <w:sz w:val="22"/>
          <w:szCs w:val="22"/>
        </w:rPr>
        <w:lastRenderedPageBreak/>
        <w:t>D’un point de vue économique, la mise en œuvre de la convention Région / EPF profite aux entreprises normandes du BTP : démolition, dépollution, désamiantage, gros œuvre pour les chantiers de réhabilitation puis construction de logements/activités une fois les emprises démolies libérées. Ainsi, actuellement, ce sont près d’une trentaine de chantiers coordonnés par l’EPF qui sont en cours en Normandie.</w:t>
      </w:r>
    </w:p>
    <w:p w:rsidR="007C3B09" w:rsidRDefault="007C3B09" w:rsidP="007C3B09">
      <w:pPr>
        <w:spacing w:after="0" w:line="240" w:lineRule="auto"/>
        <w:jc w:val="both"/>
        <w:rPr>
          <w:rFonts w:ascii="Arial" w:eastAsia="Calibri" w:hAnsi="Arial" w:cs="Arial"/>
          <w:lang w:eastAsia="fr-FR"/>
        </w:rPr>
      </w:pPr>
    </w:p>
    <w:p w:rsidR="007C3B09" w:rsidRPr="00580F78" w:rsidRDefault="007C3B09" w:rsidP="007C3B09">
      <w:pPr>
        <w:spacing w:after="0" w:line="240" w:lineRule="auto"/>
        <w:jc w:val="both"/>
        <w:rPr>
          <w:rFonts w:ascii="Arial" w:eastAsia="Calibri" w:hAnsi="Arial" w:cs="Arial"/>
          <w:lang w:eastAsia="fr-FR"/>
        </w:rPr>
      </w:pPr>
      <w:r w:rsidRPr="00580F78">
        <w:rPr>
          <w:rFonts w:ascii="Arial" w:eastAsia="Calibri" w:hAnsi="Arial" w:cs="Arial"/>
          <w:lang w:eastAsia="fr-FR"/>
        </w:rPr>
        <w:t>Contact presse :</w:t>
      </w:r>
    </w:p>
    <w:p w:rsidR="007C3B09" w:rsidRPr="00580F78" w:rsidRDefault="007C3B09" w:rsidP="007C3B09">
      <w:pPr>
        <w:spacing w:after="0" w:line="240" w:lineRule="auto"/>
        <w:jc w:val="both"/>
        <w:rPr>
          <w:rFonts w:ascii="Arial" w:eastAsia="Calibri" w:hAnsi="Arial" w:cs="Arial"/>
          <w:u w:val="single"/>
          <w:lang w:val="en-US" w:eastAsia="fr-FR"/>
        </w:rPr>
      </w:pPr>
      <w:r w:rsidRPr="00580F78">
        <w:rPr>
          <w:rFonts w:ascii="Arial" w:eastAsia="Calibri" w:hAnsi="Arial" w:cs="Arial"/>
          <w:lang w:val="en-US" w:eastAsia="fr-FR"/>
        </w:rPr>
        <w:t>Laure Wattinne – 06 44 17 55 41 – </w:t>
      </w:r>
      <w:hyperlink r:id="rId11" w:history="1">
        <w:r w:rsidRPr="00580F78">
          <w:rPr>
            <w:rFonts w:ascii="Arial" w:eastAsia="Calibri" w:hAnsi="Arial" w:cs="Arial"/>
            <w:u w:val="single"/>
            <w:lang w:val="en-US" w:eastAsia="fr-FR"/>
          </w:rPr>
          <w:t>laure.wattinne@normandie.fr</w:t>
        </w:r>
      </w:hyperlink>
    </w:p>
    <w:p w:rsidR="004F161F" w:rsidRPr="004F161F" w:rsidRDefault="004F161F" w:rsidP="004F161F">
      <w:pPr>
        <w:pStyle w:val="NormalWeb"/>
        <w:spacing w:before="0" w:beforeAutospacing="0" w:after="220" w:afterAutospacing="0"/>
        <w:ind w:right="284"/>
        <w:jc w:val="both"/>
        <w:rPr>
          <w:rFonts w:ascii="Arial" w:hAnsi="Arial" w:cs="Arial"/>
          <w:b/>
          <w:sz w:val="22"/>
          <w:szCs w:val="22"/>
        </w:rPr>
      </w:pPr>
    </w:p>
    <w:p w:rsidR="004F161F" w:rsidRPr="004F161F" w:rsidRDefault="004F161F" w:rsidP="004F161F">
      <w:pPr>
        <w:jc w:val="both"/>
        <w:rPr>
          <w:rFonts w:ascii="Arial" w:hAnsi="Arial" w:cs="Arial"/>
          <w:b/>
        </w:rPr>
      </w:pPr>
    </w:p>
    <w:sectPr w:rsidR="004F161F" w:rsidRPr="004F1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AB77C9"/>
    <w:multiLevelType w:val="hybridMultilevel"/>
    <w:tmpl w:val="DF685364"/>
    <w:lvl w:ilvl="0" w:tplc="0A7EDEE6">
      <w:numFmt w:val="bullet"/>
      <w:lvlText w:val=""/>
      <w:lvlJc w:val="left"/>
      <w:pPr>
        <w:ind w:left="1065" w:hanging="360"/>
      </w:pPr>
      <w:rPr>
        <w:rFonts w:ascii="Wingdings" w:eastAsiaTheme="minorHAnsi" w:hAnsi="Wingdings"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580756B6"/>
    <w:multiLevelType w:val="hybridMultilevel"/>
    <w:tmpl w:val="8D1AA4DE"/>
    <w:lvl w:ilvl="0" w:tplc="0DF4AAB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FD3EC6"/>
    <w:multiLevelType w:val="hybridMultilevel"/>
    <w:tmpl w:val="DC8ECFCC"/>
    <w:lvl w:ilvl="0" w:tplc="55DE90A8">
      <w:start w:val="1"/>
      <w:numFmt w:val="bullet"/>
      <w:lvlText w:val=""/>
      <w:lvlJc w:val="left"/>
      <w:pPr>
        <w:tabs>
          <w:tab w:val="num" w:pos="720"/>
        </w:tabs>
        <w:ind w:left="720" w:hanging="360"/>
      </w:pPr>
      <w:rPr>
        <w:rFonts w:ascii="Wingdings" w:hAnsi="Wingdings" w:hint="default"/>
      </w:rPr>
    </w:lvl>
    <w:lvl w:ilvl="1" w:tplc="FDC620D6" w:tentative="1">
      <w:start w:val="1"/>
      <w:numFmt w:val="bullet"/>
      <w:lvlText w:val=""/>
      <w:lvlJc w:val="left"/>
      <w:pPr>
        <w:tabs>
          <w:tab w:val="num" w:pos="1440"/>
        </w:tabs>
        <w:ind w:left="1440" w:hanging="360"/>
      </w:pPr>
      <w:rPr>
        <w:rFonts w:ascii="Wingdings" w:hAnsi="Wingdings" w:hint="default"/>
      </w:rPr>
    </w:lvl>
    <w:lvl w:ilvl="2" w:tplc="FCCE3370" w:tentative="1">
      <w:start w:val="1"/>
      <w:numFmt w:val="bullet"/>
      <w:lvlText w:val=""/>
      <w:lvlJc w:val="left"/>
      <w:pPr>
        <w:tabs>
          <w:tab w:val="num" w:pos="2160"/>
        </w:tabs>
        <w:ind w:left="2160" w:hanging="360"/>
      </w:pPr>
      <w:rPr>
        <w:rFonts w:ascii="Wingdings" w:hAnsi="Wingdings" w:hint="default"/>
      </w:rPr>
    </w:lvl>
    <w:lvl w:ilvl="3" w:tplc="D0560532" w:tentative="1">
      <w:start w:val="1"/>
      <w:numFmt w:val="bullet"/>
      <w:lvlText w:val=""/>
      <w:lvlJc w:val="left"/>
      <w:pPr>
        <w:tabs>
          <w:tab w:val="num" w:pos="2880"/>
        </w:tabs>
        <w:ind w:left="2880" w:hanging="360"/>
      </w:pPr>
      <w:rPr>
        <w:rFonts w:ascii="Wingdings" w:hAnsi="Wingdings" w:hint="default"/>
      </w:rPr>
    </w:lvl>
    <w:lvl w:ilvl="4" w:tplc="8CE01998" w:tentative="1">
      <w:start w:val="1"/>
      <w:numFmt w:val="bullet"/>
      <w:lvlText w:val=""/>
      <w:lvlJc w:val="left"/>
      <w:pPr>
        <w:tabs>
          <w:tab w:val="num" w:pos="3600"/>
        </w:tabs>
        <w:ind w:left="3600" w:hanging="360"/>
      </w:pPr>
      <w:rPr>
        <w:rFonts w:ascii="Wingdings" w:hAnsi="Wingdings" w:hint="default"/>
      </w:rPr>
    </w:lvl>
    <w:lvl w:ilvl="5" w:tplc="3F4CB5B0" w:tentative="1">
      <w:start w:val="1"/>
      <w:numFmt w:val="bullet"/>
      <w:lvlText w:val=""/>
      <w:lvlJc w:val="left"/>
      <w:pPr>
        <w:tabs>
          <w:tab w:val="num" w:pos="4320"/>
        </w:tabs>
        <w:ind w:left="4320" w:hanging="360"/>
      </w:pPr>
      <w:rPr>
        <w:rFonts w:ascii="Wingdings" w:hAnsi="Wingdings" w:hint="default"/>
      </w:rPr>
    </w:lvl>
    <w:lvl w:ilvl="6" w:tplc="9C2A5D3A" w:tentative="1">
      <w:start w:val="1"/>
      <w:numFmt w:val="bullet"/>
      <w:lvlText w:val=""/>
      <w:lvlJc w:val="left"/>
      <w:pPr>
        <w:tabs>
          <w:tab w:val="num" w:pos="5040"/>
        </w:tabs>
        <w:ind w:left="5040" w:hanging="360"/>
      </w:pPr>
      <w:rPr>
        <w:rFonts w:ascii="Wingdings" w:hAnsi="Wingdings" w:hint="default"/>
      </w:rPr>
    </w:lvl>
    <w:lvl w:ilvl="7" w:tplc="EDE27DDA" w:tentative="1">
      <w:start w:val="1"/>
      <w:numFmt w:val="bullet"/>
      <w:lvlText w:val=""/>
      <w:lvlJc w:val="left"/>
      <w:pPr>
        <w:tabs>
          <w:tab w:val="num" w:pos="5760"/>
        </w:tabs>
        <w:ind w:left="5760" w:hanging="360"/>
      </w:pPr>
      <w:rPr>
        <w:rFonts w:ascii="Wingdings" w:hAnsi="Wingdings" w:hint="default"/>
      </w:rPr>
    </w:lvl>
    <w:lvl w:ilvl="8" w:tplc="86A4A25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5B63BD"/>
    <w:multiLevelType w:val="hybridMultilevel"/>
    <w:tmpl w:val="83829194"/>
    <w:lvl w:ilvl="0" w:tplc="0DF4AAB6">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A1"/>
    <w:rsid w:val="00162598"/>
    <w:rsid w:val="00186384"/>
    <w:rsid w:val="002A516F"/>
    <w:rsid w:val="004F161F"/>
    <w:rsid w:val="006F04C0"/>
    <w:rsid w:val="007C39A1"/>
    <w:rsid w:val="007C3B09"/>
    <w:rsid w:val="00A54011"/>
    <w:rsid w:val="00CE49BB"/>
    <w:rsid w:val="00CF20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B3DB2-7998-421B-8691-82006317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F1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161F"/>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157319">
      <w:bodyDiv w:val="1"/>
      <w:marLeft w:val="0"/>
      <w:marRight w:val="0"/>
      <w:marTop w:val="0"/>
      <w:marBottom w:val="0"/>
      <w:divBdr>
        <w:top w:val="none" w:sz="0" w:space="0" w:color="auto"/>
        <w:left w:val="none" w:sz="0" w:space="0" w:color="auto"/>
        <w:bottom w:val="none" w:sz="0" w:space="0" w:color="auto"/>
        <w:right w:val="none" w:sz="0" w:space="0" w:color="auto"/>
      </w:divBdr>
    </w:div>
    <w:div w:id="601495197">
      <w:bodyDiv w:val="1"/>
      <w:marLeft w:val="0"/>
      <w:marRight w:val="0"/>
      <w:marTop w:val="0"/>
      <w:marBottom w:val="0"/>
      <w:divBdr>
        <w:top w:val="none" w:sz="0" w:space="0" w:color="auto"/>
        <w:left w:val="none" w:sz="0" w:space="0" w:color="auto"/>
        <w:bottom w:val="none" w:sz="0" w:space="0" w:color="auto"/>
        <w:right w:val="none" w:sz="0" w:space="0" w:color="auto"/>
      </w:divBdr>
    </w:div>
    <w:div w:id="1166090129">
      <w:bodyDiv w:val="1"/>
      <w:marLeft w:val="0"/>
      <w:marRight w:val="0"/>
      <w:marTop w:val="0"/>
      <w:marBottom w:val="0"/>
      <w:divBdr>
        <w:top w:val="none" w:sz="0" w:space="0" w:color="auto"/>
        <w:left w:val="none" w:sz="0" w:space="0" w:color="auto"/>
        <w:bottom w:val="none" w:sz="0" w:space="0" w:color="auto"/>
        <w:right w:val="none" w:sz="0" w:space="0" w:color="auto"/>
      </w:divBdr>
    </w:div>
    <w:div w:id="1257517503">
      <w:bodyDiv w:val="1"/>
      <w:marLeft w:val="0"/>
      <w:marRight w:val="0"/>
      <w:marTop w:val="0"/>
      <w:marBottom w:val="0"/>
      <w:divBdr>
        <w:top w:val="none" w:sz="0" w:space="0" w:color="auto"/>
        <w:left w:val="none" w:sz="0" w:space="0" w:color="auto"/>
        <w:bottom w:val="none" w:sz="0" w:space="0" w:color="auto"/>
        <w:right w:val="none" w:sz="0" w:space="0" w:color="auto"/>
      </w:divBdr>
      <w:divsChild>
        <w:div w:id="1791319135">
          <w:marLeft w:val="446"/>
          <w:marRight w:val="0"/>
          <w:marTop w:val="0"/>
          <w:marBottom w:val="0"/>
          <w:divBdr>
            <w:top w:val="none" w:sz="0" w:space="0" w:color="auto"/>
            <w:left w:val="none" w:sz="0" w:space="0" w:color="auto"/>
            <w:bottom w:val="none" w:sz="0" w:space="0" w:color="auto"/>
            <w:right w:val="none" w:sz="0" w:space="0" w:color="auto"/>
          </w:divBdr>
        </w:div>
      </w:divsChild>
    </w:div>
    <w:div w:id="1569029905">
      <w:bodyDiv w:val="1"/>
      <w:marLeft w:val="0"/>
      <w:marRight w:val="0"/>
      <w:marTop w:val="0"/>
      <w:marBottom w:val="0"/>
      <w:divBdr>
        <w:top w:val="none" w:sz="0" w:space="0" w:color="auto"/>
        <w:left w:val="none" w:sz="0" w:space="0" w:color="auto"/>
        <w:bottom w:val="none" w:sz="0" w:space="0" w:color="auto"/>
        <w:right w:val="none" w:sz="0" w:space="0" w:color="auto"/>
      </w:divBdr>
      <w:divsChild>
        <w:div w:id="1734352095">
          <w:marLeft w:val="1987"/>
          <w:marRight w:val="0"/>
          <w:marTop w:val="0"/>
          <w:marBottom w:val="120"/>
          <w:divBdr>
            <w:top w:val="none" w:sz="0" w:space="0" w:color="auto"/>
            <w:left w:val="none" w:sz="0" w:space="0" w:color="auto"/>
            <w:bottom w:val="none" w:sz="0" w:space="0" w:color="auto"/>
            <w:right w:val="none" w:sz="0" w:space="0" w:color="auto"/>
          </w:divBdr>
        </w:div>
        <w:div w:id="395393845">
          <w:marLeft w:val="1987"/>
          <w:marRight w:val="0"/>
          <w:marTop w:val="0"/>
          <w:marBottom w:val="120"/>
          <w:divBdr>
            <w:top w:val="none" w:sz="0" w:space="0" w:color="auto"/>
            <w:left w:val="none" w:sz="0" w:space="0" w:color="auto"/>
            <w:bottom w:val="none" w:sz="0" w:space="0" w:color="auto"/>
            <w:right w:val="none" w:sz="0" w:space="0" w:color="auto"/>
          </w:divBdr>
        </w:div>
        <w:div w:id="231890826">
          <w:marLeft w:val="1987"/>
          <w:marRight w:val="0"/>
          <w:marTop w:val="0"/>
          <w:marBottom w:val="120"/>
          <w:divBdr>
            <w:top w:val="none" w:sz="0" w:space="0" w:color="auto"/>
            <w:left w:val="none" w:sz="0" w:space="0" w:color="auto"/>
            <w:bottom w:val="none" w:sz="0" w:space="0" w:color="auto"/>
            <w:right w:val="none" w:sz="0" w:space="0" w:color="auto"/>
          </w:divBdr>
        </w:div>
        <w:div w:id="1541550596">
          <w:marLeft w:val="1987"/>
          <w:marRight w:val="0"/>
          <w:marTop w:val="0"/>
          <w:marBottom w:val="120"/>
          <w:divBdr>
            <w:top w:val="none" w:sz="0" w:space="0" w:color="auto"/>
            <w:left w:val="none" w:sz="0" w:space="0" w:color="auto"/>
            <w:bottom w:val="none" w:sz="0" w:space="0" w:color="auto"/>
            <w:right w:val="none" w:sz="0" w:space="0" w:color="auto"/>
          </w:divBdr>
        </w:div>
      </w:divsChild>
    </w:div>
    <w:div w:id="174151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62DEB.138CB0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2DEB.138CB000" TargetMode="External"/><Relationship Id="rId11" Type="http://schemas.openxmlformats.org/officeDocument/2006/relationships/hyperlink" Target="mailto:laure.wattinne@normandie.fr" TargetMode="External"/><Relationship Id="rId5" Type="http://schemas.openxmlformats.org/officeDocument/2006/relationships/image" Target="media/image1.png"/><Relationship Id="rId10" Type="http://schemas.openxmlformats.org/officeDocument/2006/relationships/image" Target="cid:image011.png@01D5EFE4.2C57C830"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905</Words>
  <Characters>4979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3</cp:revision>
  <dcterms:created xsi:type="dcterms:W3CDTF">2020-06-02T12:30:00Z</dcterms:created>
  <dcterms:modified xsi:type="dcterms:W3CDTF">2020-06-02T15:58:00Z</dcterms:modified>
</cp:coreProperties>
</file>