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8796"/>
        <w:gridCol w:w="222"/>
      </w:tblGrid>
      <w:tr w:rsidR="006D73BC" w:rsidTr="006D73BC">
        <w:tc>
          <w:tcPr>
            <w:tcW w:w="8796" w:type="dxa"/>
            <w:tcMar>
              <w:top w:w="0" w:type="dxa"/>
              <w:left w:w="108" w:type="dxa"/>
              <w:bottom w:w="0" w:type="dxa"/>
              <w:right w:w="108" w:type="dxa"/>
            </w:tcMar>
            <w:hideMark/>
          </w:tcPr>
          <w:p w:rsidR="006D73BC" w:rsidRDefault="006D73BC">
            <w:pPr>
              <w:spacing w:line="252" w:lineRule="atLeast"/>
            </w:pPr>
            <w:r>
              <w:rPr>
                <w:rFonts w:ascii="Arial" w:hAnsi="Arial" w:cs="Arial"/>
                <w:noProof/>
              </w:rPr>
              <w:drawing>
                <wp:inline distT="0" distB="0" distL="0" distR="0">
                  <wp:extent cx="5448300" cy="514350"/>
                  <wp:effectExtent l="0" t="0" r="0" b="0"/>
                  <wp:docPr id="6" name="Image 6" descr="cid:image001.png@01D62DD7.9369A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DD7.9369A0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p w:rsidR="006D73BC" w:rsidRDefault="006D73BC">
            <w:pPr>
              <w:spacing w:line="252" w:lineRule="atLeast"/>
              <w:jc w:val="right"/>
            </w:pPr>
            <w:r>
              <w:rPr>
                <w:rFonts w:ascii="Arial" w:hAnsi="Arial" w:cs="Arial"/>
              </w:rPr>
              <w:t> </w:t>
            </w:r>
          </w:p>
          <w:tbl>
            <w:tblPr>
              <w:tblW w:w="4950" w:type="pct"/>
              <w:jc w:val="center"/>
              <w:tblCellMar>
                <w:left w:w="0" w:type="dxa"/>
                <w:right w:w="0" w:type="dxa"/>
              </w:tblCellMar>
              <w:tblLook w:val="04A0" w:firstRow="1" w:lastRow="0" w:firstColumn="1" w:lastColumn="0" w:noHBand="0" w:noVBand="1"/>
            </w:tblPr>
            <w:tblGrid>
              <w:gridCol w:w="4138"/>
              <w:gridCol w:w="4356"/>
            </w:tblGrid>
            <w:tr w:rsidR="006D73BC" w:rsidTr="006D73BC">
              <w:trPr>
                <w:jc w:val="center"/>
              </w:trPr>
              <w:tc>
                <w:tcPr>
                  <w:tcW w:w="2500" w:type="pct"/>
                  <w:tcMar>
                    <w:top w:w="0" w:type="dxa"/>
                    <w:left w:w="108" w:type="dxa"/>
                    <w:bottom w:w="0" w:type="dxa"/>
                    <w:right w:w="108" w:type="dxa"/>
                  </w:tcMar>
                  <w:hideMark/>
                </w:tcPr>
                <w:p w:rsidR="006D73BC" w:rsidRDefault="006D73BC">
                  <w:pPr>
                    <w:spacing w:line="252" w:lineRule="atLeast"/>
                    <w:jc w:val="both"/>
                  </w:pPr>
                  <w:r>
                    <w:rPr>
                      <w:rFonts w:ascii="Arial" w:hAnsi="Arial" w:cs="Arial"/>
                    </w:rPr>
                    <w:t>            </w:t>
                  </w:r>
                  <w:r>
                    <w:rPr>
                      <w:rFonts w:ascii="Arial" w:hAnsi="Arial" w:cs="Arial"/>
                      <w:noProof/>
                    </w:rPr>
                    <w:drawing>
                      <wp:inline distT="0" distB="0" distL="0" distR="0">
                        <wp:extent cx="1066800" cy="1000125"/>
                        <wp:effectExtent l="0" t="0" r="0" b="9525"/>
                        <wp:docPr id="5" name="Image 5" descr="cid:image002.png@01D62DD7.9369A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2DD7.9369A0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tc>
              <w:tc>
                <w:tcPr>
                  <w:tcW w:w="2450" w:type="pct"/>
                  <w:tcMar>
                    <w:top w:w="0" w:type="dxa"/>
                    <w:left w:w="108" w:type="dxa"/>
                    <w:bottom w:w="0" w:type="dxa"/>
                    <w:right w:w="108" w:type="dxa"/>
                  </w:tcMar>
                  <w:vAlign w:val="center"/>
                  <w:hideMark/>
                </w:tcPr>
                <w:p w:rsidR="006D73BC" w:rsidRDefault="006D73BC">
                  <w:pPr>
                    <w:spacing w:line="252" w:lineRule="atLeast"/>
                    <w:jc w:val="center"/>
                  </w:pPr>
                  <w:r>
                    <w:rPr>
                      <w:noProof/>
                    </w:rPr>
                    <w:drawing>
                      <wp:inline distT="0" distB="0" distL="0" distR="0" wp14:anchorId="6BABABDF">
                        <wp:extent cx="2628265" cy="615216"/>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5385" cy="619223"/>
                                </a:xfrm>
                                <a:prstGeom prst="rect">
                                  <a:avLst/>
                                </a:prstGeom>
                                <a:noFill/>
                              </pic:spPr>
                            </pic:pic>
                          </a:graphicData>
                        </a:graphic>
                      </wp:inline>
                    </w:drawing>
                  </w:r>
                </w:p>
              </w:tc>
            </w:tr>
          </w:tbl>
          <w:p w:rsidR="006D73BC" w:rsidRDefault="006D73BC">
            <w:pPr>
              <w:jc w:val="center"/>
              <w:rPr>
                <w:rFonts w:eastAsia="Times New Roman"/>
                <w:sz w:val="20"/>
                <w:szCs w:val="20"/>
              </w:rPr>
            </w:pPr>
          </w:p>
        </w:tc>
        <w:tc>
          <w:tcPr>
            <w:tcW w:w="222" w:type="dxa"/>
            <w:tcMar>
              <w:top w:w="0" w:type="dxa"/>
              <w:left w:w="108" w:type="dxa"/>
              <w:bottom w:w="0" w:type="dxa"/>
              <w:right w:w="108" w:type="dxa"/>
            </w:tcMar>
            <w:hideMark/>
          </w:tcPr>
          <w:p w:rsidR="006D73BC" w:rsidRDefault="006D73BC">
            <w:pPr>
              <w:rPr>
                <w:rFonts w:eastAsia="Times New Roman"/>
                <w:sz w:val="20"/>
                <w:szCs w:val="20"/>
              </w:rPr>
            </w:pPr>
          </w:p>
        </w:tc>
      </w:tr>
    </w:tbl>
    <w:p w:rsidR="006D73BC" w:rsidRDefault="006D73BC" w:rsidP="006D73BC">
      <w:pPr>
        <w:jc w:val="right"/>
        <w:rPr>
          <w:rFonts w:ascii="Arial" w:hAnsi="Arial" w:cs="Arial"/>
        </w:rPr>
      </w:pPr>
    </w:p>
    <w:p w:rsidR="006D73BC" w:rsidRDefault="006D73BC" w:rsidP="006D73BC">
      <w:pPr>
        <w:jc w:val="right"/>
      </w:pPr>
      <w:r>
        <w:rPr>
          <w:rFonts w:ascii="Arial" w:hAnsi="Arial" w:cs="Arial"/>
        </w:rPr>
        <w:t>Le 19 mai 2020</w:t>
      </w:r>
    </w:p>
    <w:p w:rsidR="006D73BC" w:rsidRPr="006D73BC" w:rsidRDefault="006D73BC" w:rsidP="006D73BC">
      <w:pPr>
        <w:jc w:val="right"/>
        <w:rPr>
          <w:color w:val="767171" w:themeColor="background2" w:themeShade="80"/>
        </w:rPr>
      </w:pPr>
      <w:r w:rsidRPr="006D73BC">
        <w:rPr>
          <w:rFonts w:ascii="Arial" w:hAnsi="Arial" w:cs="Arial"/>
          <w:color w:val="767171" w:themeColor="background2" w:themeShade="80"/>
        </w:rPr>
        <w:t> </w:t>
      </w:r>
    </w:p>
    <w:p w:rsidR="006D73BC" w:rsidRPr="006D73BC" w:rsidRDefault="006D73BC" w:rsidP="006D73BC">
      <w:pPr>
        <w:jc w:val="both"/>
        <w:rPr>
          <w:color w:val="767171" w:themeColor="background2" w:themeShade="80"/>
        </w:rPr>
      </w:pPr>
      <w:r w:rsidRPr="006D73BC">
        <w:rPr>
          <w:rFonts w:ascii="Arial" w:hAnsi="Arial" w:cs="Arial"/>
          <w:b/>
          <w:bCs/>
          <w:color w:val="767171" w:themeColor="background2" w:themeShade="80"/>
          <w:sz w:val="28"/>
          <w:szCs w:val="28"/>
        </w:rPr>
        <w:t>Baromètre de l’activité internationale des entreprises normandes :</w:t>
      </w:r>
    </w:p>
    <w:p w:rsidR="006D73BC" w:rsidRDefault="006D73BC" w:rsidP="006D73BC">
      <w:pPr>
        <w:jc w:val="both"/>
      </w:pPr>
      <w:r>
        <w:rPr>
          <w:rFonts w:ascii="Arial" w:hAnsi="Arial" w:cs="Arial"/>
          <w:b/>
          <w:bCs/>
          <w:sz w:val="28"/>
          <w:szCs w:val="28"/>
        </w:rPr>
        <w:t>55 % des entreprises ont maintenu leurs activités à l’export malgré la crise du Covid-19</w:t>
      </w:r>
    </w:p>
    <w:p w:rsidR="006D73BC" w:rsidRDefault="006D73BC" w:rsidP="006D73BC">
      <w:pPr>
        <w:jc w:val="both"/>
      </w:pPr>
      <w:r>
        <w:rPr>
          <w:rFonts w:ascii="Calibri" w:hAnsi="Calibri" w:cs="Calibri"/>
        </w:rPr>
        <w:br/>
      </w:r>
      <w:r>
        <w:rPr>
          <w:rFonts w:ascii="Arial" w:hAnsi="Arial" w:cs="Arial"/>
        </w:rPr>
        <w:t>Dans le contexte de crise sanitaire liée à l’épidémie de Covid-19, la Région Normandie à travers son outil de développement, l’ADN et  les conseillers International Team France Export (TFE) se mobilisent au quotidien, aux côtés des entreprises normandes ayant des intérêts à l’export, dans la continuité du plan d’urgence « international » annoncé le 30 mars 2020 par le Gouvernement et des mesures régionales export qui l’accompagnent.</w:t>
      </w:r>
    </w:p>
    <w:p w:rsidR="006D73BC" w:rsidRDefault="006D73BC" w:rsidP="006D73BC">
      <w:pPr>
        <w:jc w:val="both"/>
      </w:pPr>
      <w:r>
        <w:rPr>
          <w:rFonts w:ascii="Arial" w:hAnsi="Arial" w:cs="Arial"/>
        </w:rPr>
        <w:t> </w:t>
      </w:r>
    </w:p>
    <w:p w:rsidR="006D73BC" w:rsidRDefault="006D73BC" w:rsidP="006D73BC">
      <w:pPr>
        <w:spacing w:after="240"/>
        <w:jc w:val="both"/>
      </w:pPr>
      <w:r>
        <w:rPr>
          <w:rFonts w:ascii="Arial" w:hAnsi="Arial" w:cs="Arial"/>
        </w:rPr>
        <w:t>Du 30 mars au 30 avril 2020, une série d’entretiens ont été réalisés en Normandie auprès des entreprises exportatrices pour faire le point sur leur situation économique.</w:t>
      </w:r>
    </w:p>
    <w:p w:rsidR="006D73BC" w:rsidRDefault="006D73BC" w:rsidP="006D73BC">
      <w:pPr>
        <w:jc w:val="both"/>
        <w:rPr>
          <w:rFonts w:ascii="Arial" w:hAnsi="Arial" w:cs="Arial"/>
        </w:rPr>
      </w:pPr>
      <w:r>
        <w:rPr>
          <w:rFonts w:ascii="Arial" w:hAnsi="Arial" w:cs="Arial"/>
        </w:rPr>
        <w:t>Il ressort de cette étude que malgré le contexte C</w:t>
      </w:r>
      <w:r w:rsidR="00141333">
        <w:rPr>
          <w:rFonts w:ascii="Arial" w:hAnsi="Arial" w:cs="Arial"/>
        </w:rPr>
        <w:t>ovid</w:t>
      </w:r>
      <w:bookmarkStart w:id="0" w:name="_GoBack"/>
      <w:bookmarkEnd w:id="0"/>
      <w:r>
        <w:rPr>
          <w:rFonts w:ascii="Arial" w:hAnsi="Arial" w:cs="Arial"/>
        </w:rPr>
        <w:t xml:space="preserve">-19, près de 55 % des entreprises exportatrices du territoire ont maintenu leurs activités à l’export. En revanche, 45 % des entreprises interrogées déclarent avoir stoppé ou mis en sommeil </w:t>
      </w:r>
      <w:r w:rsidRPr="006D73BC">
        <w:rPr>
          <w:rFonts w:ascii="Arial" w:hAnsi="Arial" w:cs="Arial"/>
        </w:rPr>
        <w:t>leurs démarches à l’export.</w:t>
      </w:r>
    </w:p>
    <w:p w:rsidR="006D73BC" w:rsidRDefault="006D73BC" w:rsidP="006D73BC">
      <w:pPr>
        <w:jc w:val="both"/>
      </w:pPr>
      <w:r>
        <w:rPr>
          <w:rFonts w:ascii="Arial" w:hAnsi="Arial" w:cs="Arial"/>
        </w:rPr>
        <w:br/>
        <w:t>Il est cependant à noter qu’en fonction de la physionomie de l’entreprise, ces résultats diffèrent. En effet, sur la tranche des entreprises dont la part export est supérieure à 30 % de leur chiffre d’affaires, 65 % ont maintenu leurs activités à l’export.</w:t>
      </w:r>
    </w:p>
    <w:p w:rsidR="006D73BC" w:rsidRDefault="006D73BC" w:rsidP="006D73BC">
      <w:pPr>
        <w:jc w:val="both"/>
      </w:pPr>
      <w:r>
        <w:rPr>
          <w:rFonts w:ascii="Arial" w:hAnsi="Arial" w:cs="Arial"/>
        </w:rPr>
        <w:t> </w:t>
      </w:r>
    </w:p>
    <w:p w:rsidR="006D73BC" w:rsidRDefault="006D73BC" w:rsidP="006D73BC">
      <w:pPr>
        <w:jc w:val="both"/>
      </w:pPr>
      <w:r>
        <w:rPr>
          <w:rFonts w:ascii="Arial" w:hAnsi="Arial" w:cs="Arial"/>
        </w:rPr>
        <w:t xml:space="preserve">En revanche, quelle que soit leur taille ou leur dépendance à l’export, toutes pointent du doigt les mêmes difficultés : le manque de visibilité (42 % pour l’ensemble des entreprises ; 32 % pour les entreprises fortement exportatrices), la baisse des commandes (21% et 32 %) ainsi que les problèmes logistiques rencontrés (21 % et </w:t>
      </w:r>
      <w:r>
        <w:rPr>
          <w:rFonts w:ascii="Arial" w:hAnsi="Arial" w:cs="Arial"/>
        </w:rPr>
        <w:br/>
        <w:t>20 %).</w:t>
      </w:r>
    </w:p>
    <w:p w:rsidR="006D73BC" w:rsidRDefault="006D73BC" w:rsidP="006D73BC">
      <w:pPr>
        <w:jc w:val="both"/>
      </w:pPr>
      <w:r>
        <w:rPr>
          <w:rFonts w:ascii="Arial" w:hAnsi="Arial" w:cs="Arial"/>
        </w:rPr>
        <w:t> </w:t>
      </w:r>
    </w:p>
    <w:p w:rsidR="006D73BC" w:rsidRDefault="006D73BC" w:rsidP="006D73BC">
      <w:pPr>
        <w:jc w:val="both"/>
      </w:pPr>
      <w:r>
        <w:rPr>
          <w:rFonts w:ascii="Arial" w:hAnsi="Arial" w:cs="Arial"/>
        </w:rPr>
        <w:t xml:space="preserve">Autre enseignement de cette étude, la répartition sectorielle des entreprises. Si dans les entreprises de la parfumerie et des cosmétiques, l’activité export est restée à 100 % (86 % pour la santé et les </w:t>
      </w:r>
      <w:proofErr w:type="spellStart"/>
      <w:r>
        <w:rPr>
          <w:rFonts w:ascii="Arial" w:hAnsi="Arial" w:cs="Arial"/>
        </w:rPr>
        <w:t>biotech</w:t>
      </w:r>
      <w:proofErr w:type="spellEnd"/>
      <w:r>
        <w:rPr>
          <w:rFonts w:ascii="Arial" w:hAnsi="Arial" w:cs="Arial"/>
        </w:rPr>
        <w:t xml:space="preserve"> ; 78 % pour la </w:t>
      </w:r>
      <w:proofErr w:type="spellStart"/>
      <w:r>
        <w:rPr>
          <w:rFonts w:ascii="Arial" w:hAnsi="Arial" w:cs="Arial"/>
        </w:rPr>
        <w:t>tech</w:t>
      </w:r>
      <w:proofErr w:type="spellEnd"/>
      <w:r>
        <w:rPr>
          <w:rFonts w:ascii="Arial" w:hAnsi="Arial" w:cs="Arial"/>
        </w:rPr>
        <w:t> ?), ce sont les activités alimentaires (38 %) et vin, spiritueux, bières et cidres (38 %), qui ont le plus souffert durant cette même période.</w:t>
      </w:r>
    </w:p>
    <w:p w:rsidR="006D73BC" w:rsidRDefault="006D73BC" w:rsidP="006D73BC">
      <w:pPr>
        <w:jc w:val="both"/>
      </w:pPr>
      <w:r>
        <w:rPr>
          <w:rFonts w:ascii="Arial" w:hAnsi="Arial" w:cs="Arial"/>
        </w:rPr>
        <w:t> </w:t>
      </w:r>
    </w:p>
    <w:p w:rsidR="006D73BC" w:rsidRDefault="006D73BC" w:rsidP="006D73BC">
      <w:pPr>
        <w:jc w:val="both"/>
      </w:pPr>
      <w:r>
        <w:rPr>
          <w:rFonts w:ascii="Arial" w:hAnsi="Arial" w:cs="Arial"/>
          <w:i/>
          <w:iCs/>
        </w:rPr>
        <w:t>«  Avec 36 % de son PIB consacré jusqu’ici à l’export,</w:t>
      </w:r>
      <w:r>
        <w:t> </w:t>
      </w:r>
      <w:r>
        <w:rPr>
          <w:rFonts w:ascii="Arial" w:hAnsi="Arial" w:cs="Arial"/>
          <w:i/>
          <w:iCs/>
        </w:rPr>
        <w:t xml:space="preserve">contre une moyenne nationale de 21 %, la Normandie est la deuxième région la plus ouverte sur l’extérieur. Il nous </w:t>
      </w:r>
      <w:r>
        <w:rPr>
          <w:rFonts w:ascii="Arial" w:hAnsi="Arial" w:cs="Arial"/>
          <w:i/>
          <w:iCs/>
        </w:rPr>
        <w:lastRenderedPageBreak/>
        <w:t>faut  absolument préserver la compétitivité de nos entreprises exportatrices. La Région est entièrement mobilisée, depuis les premières semaines, pour aider les entreprises à faire face aux conséquences immédiates de cette crise sans précédent</w:t>
      </w:r>
      <w:r>
        <w:t>, </w:t>
      </w:r>
      <w:r>
        <w:rPr>
          <w:rFonts w:ascii="Arial" w:hAnsi="Arial" w:cs="Arial"/>
          <w:i/>
          <w:iCs/>
        </w:rPr>
        <w:t>notamment en sécurisant leur trésorerie, mais aussi pour assurer leur rebond à l’international dès que les conditions sanitaires seront réunies » </w:t>
      </w:r>
      <w:r>
        <w:rPr>
          <w:rFonts w:ascii="Arial" w:hAnsi="Arial" w:cs="Arial"/>
        </w:rPr>
        <w:t>a réaffirmé Hervé Morin, Président de la Région Normandie.</w:t>
      </w:r>
    </w:p>
    <w:p w:rsidR="006D73BC" w:rsidRDefault="006D73BC" w:rsidP="006D73BC">
      <w:pPr>
        <w:jc w:val="both"/>
      </w:pPr>
      <w:r>
        <w:rPr>
          <w:rFonts w:ascii="Arial" w:hAnsi="Arial" w:cs="Arial"/>
        </w:rPr>
        <w:t> </w:t>
      </w:r>
    </w:p>
    <w:p w:rsidR="006D73BC" w:rsidRDefault="006D73BC" w:rsidP="006D73BC">
      <w:pPr>
        <w:jc w:val="both"/>
      </w:pPr>
      <w:r>
        <w:rPr>
          <w:rFonts w:ascii="Arial" w:hAnsi="Arial" w:cs="Arial"/>
        </w:rPr>
        <w:t>« </w:t>
      </w:r>
      <w:r>
        <w:rPr>
          <w:rFonts w:ascii="Arial" w:hAnsi="Arial" w:cs="Arial"/>
          <w:i/>
          <w:iCs/>
        </w:rPr>
        <w:t>Dans ce contexte si particulier, il est essentiel que les entreprises continuent leur mobilisation en faveur de l’export. C’est pour cette raison que nos conseillers demeurent mobilisés pour répondre aux sollicitations des entreprises, les informer et leur proposer des solutions concrètes. Car l’objectif est clair : il s’agit d’être en capacité de rebondir dès la fin de la crise</w:t>
      </w:r>
      <w:r>
        <w:rPr>
          <w:rFonts w:ascii="Arial" w:hAnsi="Arial" w:cs="Arial"/>
        </w:rPr>
        <w:t> », a rappelé Gilles Treuil, Président de CCI Normandie.</w:t>
      </w:r>
    </w:p>
    <w:p w:rsidR="006D73BC" w:rsidRDefault="006D73BC" w:rsidP="006D73BC">
      <w:pPr>
        <w:jc w:val="both"/>
      </w:pPr>
      <w:r>
        <w:rPr>
          <w:rFonts w:ascii="Arial" w:hAnsi="Arial" w:cs="Arial"/>
        </w:rPr>
        <w:t> </w:t>
      </w:r>
    </w:p>
    <w:p w:rsidR="006D73BC" w:rsidRDefault="006D73BC" w:rsidP="006D73BC">
      <w:pPr>
        <w:jc w:val="both"/>
      </w:pPr>
      <w:r>
        <w:rPr>
          <w:rFonts w:ascii="Arial" w:hAnsi="Arial" w:cs="Arial"/>
        </w:rPr>
        <w:t>« </w:t>
      </w:r>
      <w:r>
        <w:rPr>
          <w:rFonts w:ascii="Arial" w:hAnsi="Arial" w:cs="Arial"/>
          <w:i/>
          <w:iCs/>
        </w:rPr>
        <w:t>Nos entreprises exportatrices nous disent vouloir résolument continuer à l’international malgré les difficultés inédites qui s’imposent à elles. C’est une très bonne nouvelle pour préparer la reconquête de nos positions. Il faudra un plan de relance puissant pour les accompagner car la concurrence mondiale sera exacerbée. La Team France Export y prendra pleinement sa part</w:t>
      </w:r>
      <w:r>
        <w:rPr>
          <w:rFonts w:ascii="Arial" w:hAnsi="Arial" w:cs="Arial"/>
        </w:rPr>
        <w:t xml:space="preserve"> », s’est ainsi félicité Christophe </w:t>
      </w:r>
      <w:proofErr w:type="spellStart"/>
      <w:r>
        <w:rPr>
          <w:rFonts w:ascii="Arial" w:hAnsi="Arial" w:cs="Arial"/>
        </w:rPr>
        <w:t>Lecourtier</w:t>
      </w:r>
      <w:proofErr w:type="spellEnd"/>
      <w:r>
        <w:rPr>
          <w:rFonts w:ascii="Arial" w:hAnsi="Arial" w:cs="Arial"/>
        </w:rPr>
        <w:t>, directeur général de Business France, à l’issue de cette consultation</w:t>
      </w:r>
      <w:r>
        <w:rPr>
          <w:rFonts w:ascii="Calibri" w:hAnsi="Calibri" w:cs="Calibri"/>
        </w:rPr>
        <w:t>.</w:t>
      </w:r>
    </w:p>
    <w:p w:rsidR="006D73BC" w:rsidRDefault="006D73BC" w:rsidP="006D73BC">
      <w:r>
        <w:rPr>
          <w:rFonts w:ascii="Calibri" w:hAnsi="Calibri" w:cs="Calibri"/>
        </w:rPr>
        <w:t> </w:t>
      </w:r>
    </w:p>
    <w:p w:rsidR="006D73BC" w:rsidRDefault="006D73BC" w:rsidP="006D73BC">
      <w:pPr>
        <w:spacing w:after="120"/>
      </w:pPr>
      <w:r>
        <w:rPr>
          <w:rFonts w:ascii="Arial" w:hAnsi="Arial" w:cs="Arial"/>
          <w:sz w:val="20"/>
          <w:szCs w:val="20"/>
        </w:rPr>
        <w:t>Contacts presse :</w:t>
      </w:r>
    </w:p>
    <w:tbl>
      <w:tblPr>
        <w:tblW w:w="0" w:type="auto"/>
        <w:tblCellMar>
          <w:left w:w="0" w:type="dxa"/>
          <w:right w:w="0" w:type="dxa"/>
        </w:tblCellMar>
        <w:tblLook w:val="04A0" w:firstRow="1" w:lastRow="0" w:firstColumn="1" w:lastColumn="0" w:noHBand="0" w:noVBand="1"/>
      </w:tblPr>
      <w:tblGrid>
        <w:gridCol w:w="4678"/>
        <w:gridCol w:w="4394"/>
      </w:tblGrid>
      <w:tr w:rsidR="006D73BC" w:rsidTr="006D73BC">
        <w:tc>
          <w:tcPr>
            <w:tcW w:w="4678" w:type="dxa"/>
            <w:tcMar>
              <w:top w:w="0" w:type="dxa"/>
              <w:left w:w="108" w:type="dxa"/>
              <w:bottom w:w="0" w:type="dxa"/>
              <w:right w:w="108" w:type="dxa"/>
            </w:tcMar>
            <w:hideMark/>
          </w:tcPr>
          <w:p w:rsidR="006D73BC" w:rsidRDefault="006D73BC">
            <w:pPr>
              <w:rPr>
                <w:rFonts w:ascii="Arial" w:hAnsi="Arial" w:cs="Arial"/>
                <w:b/>
                <w:bCs/>
                <w:sz w:val="20"/>
                <w:szCs w:val="20"/>
              </w:rPr>
            </w:pPr>
            <w:r>
              <w:rPr>
                <w:rFonts w:ascii="Arial" w:hAnsi="Arial" w:cs="Arial"/>
                <w:b/>
                <w:bCs/>
                <w:sz w:val="20"/>
                <w:szCs w:val="20"/>
              </w:rPr>
              <w:t>Région Normandie </w:t>
            </w:r>
          </w:p>
          <w:p w:rsidR="006D73BC" w:rsidRDefault="006D73BC">
            <w:pPr>
              <w:rPr>
                <w:rFonts w:ascii="Arial" w:hAnsi="Arial" w:cs="Arial"/>
                <w:sz w:val="20"/>
                <w:szCs w:val="20"/>
              </w:rPr>
            </w:pPr>
            <w:r>
              <w:rPr>
                <w:rFonts w:ascii="Arial" w:hAnsi="Arial" w:cs="Arial"/>
                <w:sz w:val="20"/>
                <w:szCs w:val="20"/>
              </w:rPr>
              <w:t xml:space="preserve">Charlotte </w:t>
            </w:r>
            <w:proofErr w:type="spellStart"/>
            <w:r>
              <w:rPr>
                <w:rFonts w:ascii="Arial" w:hAnsi="Arial" w:cs="Arial"/>
                <w:sz w:val="20"/>
                <w:szCs w:val="20"/>
              </w:rPr>
              <w:t>Chanteloup</w:t>
            </w:r>
            <w:proofErr w:type="spellEnd"/>
          </w:p>
          <w:p w:rsidR="006D73BC" w:rsidRDefault="006D73BC">
            <w:pPr>
              <w:rPr>
                <w:rFonts w:ascii="Arial" w:hAnsi="Arial" w:cs="Arial"/>
                <w:sz w:val="20"/>
                <w:szCs w:val="20"/>
              </w:rPr>
            </w:pPr>
            <w:r>
              <w:rPr>
                <w:rFonts w:ascii="Arial" w:hAnsi="Arial" w:cs="Arial"/>
                <w:sz w:val="20"/>
                <w:szCs w:val="20"/>
              </w:rPr>
              <w:t>06 42 08 11 68 </w:t>
            </w:r>
          </w:p>
          <w:p w:rsidR="006D73BC" w:rsidRDefault="00141333">
            <w:pPr>
              <w:rPr>
                <w:rFonts w:ascii="Arial" w:hAnsi="Arial" w:cs="Arial"/>
                <w:sz w:val="20"/>
                <w:szCs w:val="20"/>
              </w:rPr>
            </w:pPr>
            <w:hyperlink r:id="rId10" w:history="1">
              <w:r w:rsidR="006D73BC">
                <w:rPr>
                  <w:rStyle w:val="Lienhypertexte"/>
                  <w:rFonts w:ascii="Arial" w:hAnsi="Arial" w:cs="Arial"/>
                  <w:color w:val="auto"/>
                  <w:sz w:val="20"/>
                  <w:szCs w:val="20"/>
                  <w:u w:val="none"/>
                </w:rPr>
                <w:t>charlotte.chanteloup@normandie.fr</w:t>
              </w:r>
            </w:hyperlink>
          </w:p>
          <w:p w:rsidR="006D73BC" w:rsidRDefault="006D73BC">
            <w:pPr>
              <w:rPr>
                <w:rFonts w:ascii="Arial" w:hAnsi="Arial" w:cs="Arial"/>
                <w:sz w:val="20"/>
                <w:szCs w:val="20"/>
              </w:rPr>
            </w:pPr>
            <w:r>
              <w:rPr>
                <w:rFonts w:ascii="Arial" w:hAnsi="Arial" w:cs="Arial"/>
                <w:sz w:val="20"/>
                <w:szCs w:val="20"/>
              </w:rPr>
              <w:t> </w:t>
            </w:r>
          </w:p>
          <w:p w:rsidR="006D73BC" w:rsidRDefault="006D73BC">
            <w:pPr>
              <w:rPr>
                <w:rFonts w:ascii="Arial" w:hAnsi="Arial" w:cs="Arial"/>
                <w:sz w:val="20"/>
                <w:szCs w:val="20"/>
              </w:rPr>
            </w:pPr>
            <w:r>
              <w:rPr>
                <w:rFonts w:ascii="Arial" w:hAnsi="Arial" w:cs="Arial"/>
                <w:sz w:val="20"/>
                <w:szCs w:val="20"/>
              </w:rPr>
              <w:t> </w:t>
            </w:r>
          </w:p>
          <w:p w:rsidR="006D73BC" w:rsidRDefault="006D73BC">
            <w:pPr>
              <w:rPr>
                <w:rFonts w:ascii="Arial" w:hAnsi="Arial" w:cs="Arial"/>
                <w:sz w:val="20"/>
                <w:szCs w:val="20"/>
              </w:rPr>
            </w:pPr>
            <w:r>
              <w:rPr>
                <w:rFonts w:ascii="Arial" w:hAnsi="Arial" w:cs="Arial"/>
                <w:sz w:val="20"/>
                <w:szCs w:val="20"/>
              </w:rPr>
              <w:t> </w:t>
            </w:r>
          </w:p>
        </w:tc>
        <w:tc>
          <w:tcPr>
            <w:tcW w:w="4394" w:type="dxa"/>
            <w:tcMar>
              <w:top w:w="0" w:type="dxa"/>
              <w:left w:w="108" w:type="dxa"/>
              <w:bottom w:w="0" w:type="dxa"/>
              <w:right w:w="108" w:type="dxa"/>
            </w:tcMar>
            <w:hideMark/>
          </w:tcPr>
          <w:p w:rsidR="006D73BC" w:rsidRDefault="006D73BC">
            <w:r>
              <w:rPr>
                <w:rFonts w:ascii="Arial" w:hAnsi="Arial" w:cs="Arial"/>
                <w:b/>
                <w:bCs/>
                <w:sz w:val="20"/>
                <w:szCs w:val="20"/>
              </w:rPr>
              <w:t>CCI Normandie</w:t>
            </w:r>
          </w:p>
          <w:p w:rsidR="006D73BC" w:rsidRDefault="006D73BC">
            <w:pPr>
              <w:rPr>
                <w:rFonts w:ascii="Arial" w:hAnsi="Arial" w:cs="Arial"/>
                <w:sz w:val="20"/>
                <w:szCs w:val="20"/>
              </w:rPr>
            </w:pPr>
            <w:r>
              <w:rPr>
                <w:rFonts w:ascii="Arial" w:hAnsi="Arial" w:cs="Arial"/>
                <w:sz w:val="20"/>
                <w:szCs w:val="20"/>
              </w:rPr>
              <w:t>Guillaume OUINAS</w:t>
            </w:r>
          </w:p>
          <w:p w:rsidR="006D73BC" w:rsidRDefault="006D73BC">
            <w:pPr>
              <w:rPr>
                <w:rFonts w:ascii="Arial" w:hAnsi="Arial" w:cs="Arial"/>
                <w:sz w:val="20"/>
                <w:szCs w:val="20"/>
              </w:rPr>
            </w:pPr>
            <w:r>
              <w:rPr>
                <w:rFonts w:ascii="Arial" w:hAnsi="Arial" w:cs="Arial"/>
                <w:sz w:val="20"/>
                <w:szCs w:val="20"/>
              </w:rPr>
              <w:t>06 83 06 35 45</w:t>
            </w:r>
          </w:p>
          <w:p w:rsidR="006D73BC" w:rsidRDefault="00141333">
            <w:pPr>
              <w:rPr>
                <w:rFonts w:ascii="Arial" w:hAnsi="Arial" w:cs="Arial"/>
                <w:sz w:val="20"/>
                <w:szCs w:val="20"/>
              </w:rPr>
            </w:pPr>
            <w:hyperlink r:id="rId11" w:history="1">
              <w:r w:rsidR="006D73BC">
                <w:rPr>
                  <w:rStyle w:val="Lienhypertexte"/>
                  <w:rFonts w:ascii="Arial" w:hAnsi="Arial" w:cs="Arial"/>
                  <w:color w:val="auto"/>
                  <w:sz w:val="20"/>
                  <w:szCs w:val="20"/>
                  <w:u w:val="none"/>
                </w:rPr>
                <w:t>guillaume.ouinas@normandie.cci.fr</w:t>
              </w:r>
            </w:hyperlink>
            <w:r w:rsidR="006D73BC">
              <w:rPr>
                <w:rFonts w:ascii="Arial" w:hAnsi="Arial" w:cs="Arial"/>
                <w:sz w:val="20"/>
                <w:szCs w:val="20"/>
              </w:rPr>
              <w:t xml:space="preserve"> </w:t>
            </w:r>
          </w:p>
          <w:p w:rsidR="006D73BC" w:rsidRDefault="006D73BC">
            <w:r>
              <w:rPr>
                <w:rFonts w:ascii="Arial" w:hAnsi="Arial" w:cs="Arial"/>
                <w:sz w:val="20"/>
                <w:szCs w:val="20"/>
              </w:rPr>
              <w:t> </w:t>
            </w:r>
          </w:p>
        </w:tc>
      </w:tr>
    </w:tbl>
    <w:p w:rsidR="00D81465" w:rsidRDefault="00D81465" w:rsidP="00D81465">
      <w:pPr>
        <w:rPr>
          <w:rFonts w:ascii="Calibri" w:hAnsi="Calibri" w:cs="Calibri"/>
        </w:rPr>
      </w:pPr>
    </w:p>
    <w:p w:rsidR="00D81465" w:rsidRDefault="00D81465" w:rsidP="00D81465">
      <w:pPr>
        <w:rPr>
          <w:rFonts w:ascii="Calibri" w:hAnsi="Calibri" w:cs="Calibri"/>
        </w:rPr>
      </w:pPr>
    </w:p>
    <w:p w:rsidR="00D81465" w:rsidRDefault="00D81465" w:rsidP="00D81465">
      <w:pPr>
        <w:jc w:val="both"/>
        <w:rPr>
          <w:rFonts w:ascii="Arial" w:eastAsia="Calibri" w:hAnsi="Arial" w:cs="Arial"/>
          <w:i/>
          <w:iCs/>
          <w:sz w:val="20"/>
          <w:szCs w:val="20"/>
        </w:rPr>
      </w:pPr>
    </w:p>
    <w:p w:rsidR="00D81465" w:rsidRDefault="00D81465" w:rsidP="00D81465">
      <w:pPr>
        <w:jc w:val="both"/>
        <w:rPr>
          <w:rFonts w:ascii="Arial" w:eastAsia="Calibri" w:hAnsi="Arial" w:cs="Arial"/>
          <w:i/>
          <w:iCs/>
          <w:sz w:val="20"/>
          <w:szCs w:val="20"/>
        </w:rPr>
      </w:pPr>
    </w:p>
    <w:p w:rsidR="00D81465" w:rsidRDefault="00D81465" w:rsidP="00D81465">
      <w:pPr>
        <w:rPr>
          <w:rFonts w:ascii="Arial" w:eastAsia="Calibri" w:hAnsi="Arial" w:cs="Arial"/>
        </w:rPr>
      </w:pPr>
    </w:p>
    <w:p w:rsidR="00FB110B" w:rsidRDefault="00FB110B"/>
    <w:sectPr w:rsidR="00FB1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D101C"/>
    <w:multiLevelType w:val="hybridMultilevel"/>
    <w:tmpl w:val="823CA166"/>
    <w:lvl w:ilvl="0" w:tplc="6158FA2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D0"/>
    <w:rsid w:val="00141333"/>
    <w:rsid w:val="001809C2"/>
    <w:rsid w:val="00347B3C"/>
    <w:rsid w:val="00625F5F"/>
    <w:rsid w:val="006D73BC"/>
    <w:rsid w:val="006E4068"/>
    <w:rsid w:val="00783C87"/>
    <w:rsid w:val="007C366E"/>
    <w:rsid w:val="00A624B8"/>
    <w:rsid w:val="00C7189D"/>
    <w:rsid w:val="00D81465"/>
    <w:rsid w:val="00E907D0"/>
    <w:rsid w:val="00FB11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8234D-2690-44F0-8A03-C06AA0AF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3B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81465"/>
    <w:rPr>
      <w:color w:val="0000FF"/>
      <w:u w:val="single"/>
    </w:rPr>
  </w:style>
  <w:style w:type="character" w:customStyle="1" w:styleId="apple-converted-space">
    <w:name w:val="apple-converted-space"/>
    <w:basedOn w:val="Policepardfaut"/>
    <w:rsid w:val="0018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88066">
      <w:bodyDiv w:val="1"/>
      <w:marLeft w:val="0"/>
      <w:marRight w:val="0"/>
      <w:marTop w:val="0"/>
      <w:marBottom w:val="0"/>
      <w:divBdr>
        <w:top w:val="none" w:sz="0" w:space="0" w:color="auto"/>
        <w:left w:val="none" w:sz="0" w:space="0" w:color="auto"/>
        <w:bottom w:val="none" w:sz="0" w:space="0" w:color="auto"/>
        <w:right w:val="none" w:sz="0" w:space="0" w:color="auto"/>
      </w:divBdr>
    </w:div>
    <w:div w:id="809903858">
      <w:bodyDiv w:val="1"/>
      <w:marLeft w:val="0"/>
      <w:marRight w:val="0"/>
      <w:marTop w:val="0"/>
      <w:marBottom w:val="0"/>
      <w:divBdr>
        <w:top w:val="none" w:sz="0" w:space="0" w:color="auto"/>
        <w:left w:val="none" w:sz="0" w:space="0" w:color="auto"/>
        <w:bottom w:val="none" w:sz="0" w:space="0" w:color="auto"/>
        <w:right w:val="none" w:sz="0" w:space="0" w:color="auto"/>
      </w:divBdr>
    </w:div>
    <w:div w:id="970863104">
      <w:bodyDiv w:val="1"/>
      <w:marLeft w:val="0"/>
      <w:marRight w:val="0"/>
      <w:marTop w:val="0"/>
      <w:marBottom w:val="0"/>
      <w:divBdr>
        <w:top w:val="none" w:sz="0" w:space="0" w:color="auto"/>
        <w:left w:val="none" w:sz="0" w:space="0" w:color="auto"/>
        <w:bottom w:val="none" w:sz="0" w:space="0" w:color="auto"/>
        <w:right w:val="none" w:sz="0" w:space="0" w:color="auto"/>
      </w:divBdr>
    </w:div>
    <w:div w:id="1018771808">
      <w:bodyDiv w:val="1"/>
      <w:marLeft w:val="0"/>
      <w:marRight w:val="0"/>
      <w:marTop w:val="0"/>
      <w:marBottom w:val="0"/>
      <w:divBdr>
        <w:top w:val="none" w:sz="0" w:space="0" w:color="auto"/>
        <w:left w:val="none" w:sz="0" w:space="0" w:color="auto"/>
        <w:bottom w:val="none" w:sz="0" w:space="0" w:color="auto"/>
        <w:right w:val="none" w:sz="0" w:space="0" w:color="auto"/>
      </w:divBdr>
    </w:div>
    <w:div w:id="1418820710">
      <w:bodyDiv w:val="1"/>
      <w:marLeft w:val="0"/>
      <w:marRight w:val="0"/>
      <w:marTop w:val="0"/>
      <w:marBottom w:val="0"/>
      <w:divBdr>
        <w:top w:val="none" w:sz="0" w:space="0" w:color="auto"/>
        <w:left w:val="none" w:sz="0" w:space="0" w:color="auto"/>
        <w:bottom w:val="none" w:sz="0" w:space="0" w:color="auto"/>
        <w:right w:val="none" w:sz="0" w:space="0" w:color="auto"/>
      </w:divBdr>
    </w:div>
    <w:div w:id="1690838987">
      <w:bodyDiv w:val="1"/>
      <w:marLeft w:val="0"/>
      <w:marRight w:val="0"/>
      <w:marTop w:val="0"/>
      <w:marBottom w:val="0"/>
      <w:divBdr>
        <w:top w:val="none" w:sz="0" w:space="0" w:color="auto"/>
        <w:left w:val="none" w:sz="0" w:space="0" w:color="auto"/>
        <w:bottom w:val="none" w:sz="0" w:space="0" w:color="auto"/>
        <w:right w:val="none" w:sz="0" w:space="0" w:color="auto"/>
      </w:divBdr>
    </w:div>
    <w:div w:id="1975674669">
      <w:bodyDiv w:val="1"/>
      <w:marLeft w:val="0"/>
      <w:marRight w:val="0"/>
      <w:marTop w:val="0"/>
      <w:marBottom w:val="0"/>
      <w:divBdr>
        <w:top w:val="none" w:sz="0" w:space="0" w:color="auto"/>
        <w:left w:val="none" w:sz="0" w:space="0" w:color="auto"/>
        <w:bottom w:val="none" w:sz="0" w:space="0" w:color="auto"/>
        <w:right w:val="none" w:sz="0" w:space="0" w:color="auto"/>
      </w:divBdr>
    </w:div>
    <w:div w:id="2120483976">
      <w:bodyDiv w:val="1"/>
      <w:marLeft w:val="0"/>
      <w:marRight w:val="0"/>
      <w:marTop w:val="0"/>
      <w:marBottom w:val="0"/>
      <w:divBdr>
        <w:top w:val="none" w:sz="0" w:space="0" w:color="auto"/>
        <w:left w:val="none" w:sz="0" w:space="0" w:color="auto"/>
        <w:bottom w:val="none" w:sz="0" w:space="0" w:color="auto"/>
        <w:right w:val="none" w:sz="0" w:space="0" w:color="auto"/>
      </w:divBdr>
    </w:div>
    <w:div w:id="21306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2DD7.9369A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2DD7.9369A080" TargetMode="External"/><Relationship Id="rId11" Type="http://schemas.openxmlformats.org/officeDocument/2006/relationships/hyperlink" Target="mailto:guillaume.ouinas@normandie.cci.fr" TargetMode="Externa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605</Words>
  <Characters>3331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2020-05-18T14:18:00Z</dcterms:created>
  <dcterms:modified xsi:type="dcterms:W3CDTF">2020-05-19T12:39:00Z</dcterms:modified>
</cp:coreProperties>
</file>